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PE20.015590 vom 20. Mai 2021</w:t>
      </w:r>
    </w:p>
    <w:p>
      <w:r>
        <w:t>VD Tribunal cantonal, 2021-05-20, FR</w:t>
      </w:r>
    </w:p>
    <w:p>
      <w:r>
        <w:rPr>
          <w:b/>
        </w:rPr>
        <w:t xml:space="preserve">Quelle: </w:t>
      </w:r>
      <w:r>
        <w:t>https://mcp.opencaselaw.ch/entscheid/vd_gerichte_PE20.015590</w:t>
      </w:r>
    </w:p>
    <w:p>
      <w:r>
        <w:t>FR: VD_GERICHTE PE20.015590 du 20 mai 2021</w:t>
      </w:r>
    </w:p>
    <w:p>
      <w:r>
        <w:t>IT: VD_GERICHTE PE20.015590 del 20 maggio 2021</w:t>
      </w:r>
    </w:p>
    <w:p>
      <w:pPr>
        <w:pStyle w:val="Heading2"/>
      </w:pPr>
      <w:r>
        <w:t>Erwägungen</w:t>
      </w:r>
    </w:p>
    <w:p>
      <w:r>
        <w:rPr>
          <w:b/>
        </w:rPr>
        <w:t>E. 2.1</w:t>
      </w:r>
    </w:p>
    <w:p>
      <w:r>
        <w:t>Le demandeur soutient que le courrier du 1er mai 2023 de Z.________ est un élément nouveau de nature à invalider le jugement du</w:t>
      </w:r>
    </w:p>
    <w:p>
      <w:r>
        <w:t>- 8 - 20 mai 2021, sa condamnation ayant été fondée en grande partie sur les déclarations de cette dernière, qui s’avéreraient être fausses.</w:t>
      </w:r>
    </w:p>
    <w:p>
      <w:r>
        <w:rPr>
          <w:b/>
        </w:rPr>
        <w:t>E. 2.2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Un fait survenu après le jugement dont la révision est demandée n’est pas considéré comme inconnu (ATF 145 IV 383 consid.</w:t>
      </w:r>
    </w:p>
    <w:p>
      <w:r>
        <w:rPr>
          <w:b/>
        </w:rPr>
        <w:t>E. 2.3</w:t>
      </w:r>
    </w:p>
    <w:p>
      <w:r>
        <w:t>En l’espèce, le courrier du 1er mai 2023 de Z.________ constitue un moyen de preuve nouveau. Toutefois, au vu de la condamnation d’Q.________ par jugement définitif et exécutoire du 26 février 2024, force est de constater que ce courrier a été rédigé sous la contrainte. Sa</w:t>
      </w:r>
    </w:p>
    <w:p>
      <w:r>
        <w:t>- 9 - crédibilité est nulle. La demande de révision étant uniquement fondée sur ce moyen de preuve, elle doit être rejetée.</w:t>
      </w:r>
    </w:p>
    <w:p>
      <w:r>
        <w:rPr>
          <w:b/>
        </w:rPr>
        <w:t>E. 3</w:t>
      </w:r>
    </w:p>
    <w:p>
      <w:r>
        <w:t>Au vu de ce qui précède, la demande de révision doit être rejetée. Vu l’issue de la cause, les frais de la procédure de révision, constitués du seul émolument de décision, par 770 fr. (art. 21 al. 1 par renvoi de l’art. 22 al. 1 TFIP [tarif des frais de procédure et indemnités en matière pénale du 28 septembre 2010 ; BLV 312.03.1]), seront mis à la charge du demandeur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