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PE20.015581 vom 13. Oktober 2021</w:t>
      </w:r>
    </w:p>
    <w:p>
      <w:r>
        <w:t>VD Tribunal cantonal, 2021-10-13, FR</w:t>
      </w:r>
    </w:p>
    <w:p>
      <w:r>
        <w:rPr>
          <w:b/>
        </w:rPr>
        <w:t xml:space="preserve">Quelle: </w:t>
      </w:r>
      <w:r>
        <w:t>https://mcp.opencaselaw.ch/entscheid/vd_gerichte_PE20.015581</w:t>
      </w:r>
    </w:p>
    <w:p>
      <w:r>
        <w:t>FR: VD_GERICHTE PE20.015581 du 13 octobre 2021</w:t>
      </w:r>
    </w:p>
    <w:p>
      <w:r>
        <w:t>IT: VD_GERICHTE PE20.015581 del 13 ottobre 2021</w:t>
      </w:r>
    </w:p>
    <w:p>
      <w:pPr>
        <w:pStyle w:val="Heading2"/>
      </w:pPr>
      <w:r>
        <w:t>Erwägungen</w:t>
      </w:r>
    </w:p>
    <w:p>
      <w:r>
        <w:rPr>
          <w:b/>
        </w:rPr>
        <w:t>E. 1</w:t>
      </w:r>
    </w:p>
    <w:p>
      <w:r>
        <w:t>- 8 -</w:t>
      </w:r>
    </w:p>
    <w:p>
      <w:r>
        <w:rPr>
          <w:b/>
        </w:rPr>
        <w:t>E. 1.1</w:t>
      </w:r>
    </w:p>
    <w:p>
      <w:r>
        <w:t>Né en 1994, le prévenu F.________ a expliqué avoir vécu une éducation très moraliste, avec des punitions physiques. Il a dès lors toujours eu des relations difficiles avec ses parents, ceux-ci contestant certains de ses choix. Le prévenu a une sœur cadette, avec laquelle il dit bien s’entendre, même s’il relève par ailleurs ne plus entretenir de relation avec elle; ses parents sont actuellement en instance de divorce, après de longues années de conflit. Son père est [...]. Le prévenu avait de bons résultats scolaires. Il a eu de l’intérêt pour les professions juridiques depuis son jeune âge, ce qui l’a amené à achever des études de droit. Après avoir quitté la maison familiale en 2017 pour s’établir avec son amie, l’appelant est revenu habiter chez son père à [...] en juin 2020, où il loge toujours à l’heure actuelle dans une chambre au sous-sol. Le prévenu a pu achever ses 24 mois de stage d’avocat avant que les faits incriminés dans la présente procédure n’éclatent au grand jour. Il a échoué de peu à ses premiers examens du brevet d’avocat de la session de juin 2021; le résultat de ces examens fait l’objet d’un recours pendant devant la Cour de droit administratif et public du Tribunal cantonal. Il a également échoué à la session de novembre 2021. Il n’a pas recouru contre cette nouvelle décision de refus de lui délivrer le brevet d’avocat. L’appelant n’a actuellement pas de travail fixe mais fait du conseil juridique. Jusqu’à présent, il a pu payer son assurance-maladie et d’autres frais qui se présentaient. Il dit subvenir à son entretien, sous réserve de son logement, assumé par son père. Sa mère ne l’aide pas financièrement. Il effectue des recherches d’emploi dans le secteur tertiaire (banques, assurances, protections juridiques). Actuellement, il n’envisage pas de pratiquer le barreau si le brevet d’avocat lui était accordé. Il n’a aucune relation de famille, pas plus qu’il n’a d’amis. En relation avec les faits décrits ci-dessous, l’appelant dit rembourser, quand il le peut, 500 fr. à son père.</w:t>
      </w:r>
    </w:p>
    <w:p>
      <w:r>
        <w:rPr>
          <w:b/>
        </w:rPr>
        <w:t>E. 1.2</w:t>
      </w:r>
    </w:p>
    <w:p>
      <w:r>
        <w:t>Le casier judiciaire du prévenu est vierge.</w:t>
      </w:r>
    </w:p>
    <w:p>
      <w:r>
        <w:rPr>
          <w:b/>
        </w:rPr>
        <w:t>E. 1.3</w:t>
      </w:r>
    </w:p>
    <w:p>
      <w:r>
        <w:t>Le prévenu a travaillé durant toutes ses études et auparavant déjà, ce qui lui aurait permis de constituer des économies à hauteur de</w:t>
      </w:r>
    </w:p>
    <w:p>
      <w:r>
        <w:t>- 9 - 250'000 francs. Il dit s’être également beaucoup investi dans des comités d’associations, comme trésorier. Désireux de faire fructifier son capital, le prévenu a investi ses économies, dès le mois de septembre 2019, dans une société qu’il qualifie aujourd’hui de « fantôme », dont la raison sociale est [...], située en Asie. Au départ, cette société lui demandait des petits investissements, à effectuer en ligne, pour ensuite solliciter de plus en plus d’argent, sous la menace de garder les sommes déjà confiées ou d’introduire des poursuites judiciaires. Selon l’appelant, ses interlocuteurs présentaient une façade sérieuse. A la fin, ils lui téléphonaient plusieurs heures par jour. Selon lui, il s’agissait de pressions qui allaient croissant. L’appelant situe au mois de mars 2020 les pressions qu’il a qualifiées d’« extrêmement fortes » aux débats d’appel. Auparavant, il a qualifié de « normales » les démarches effectuées par les employés de la société financière. Les correspondants du prévenu prétendaient lui offrir un rendement compris entre 5 et 10 % par an. Divers documents certifiant son prétendu investissement sous forme d’actions ou d’account statement lui ont été délivrés. Le prévenu a découvert ensuite que ces titres ne valaient rien. Cela a duré des mois car, au départ, les demandes de la société étaient raisonnables et, comme déjà relevé, ne portaient que sur de petits montants. Le prévenu a perdu toutes ses économies. Il n’arrive toujours pas à comprendre comment il a pu être victime de tels procédés, ce d’autant qu’il a également incité son père à lui prêter de l’argent, qu’il a ensuite confié à [...] (cf. ci-dessous). Il prétend avoir eu « un déclic tardif » quant à l’illicéité des méthodes utilisées pour capter ses investissements. Ultérieurement, [...] s’est retrouvée sur les listes d’alerte, que le prévenu dit avoir par ailleurs consultées avant d’investir le premier franc. Il a déposé plainte pénale à raison des faits ci-dessus. Il concède cependant ne se faire guère d’illusions quant à l’issue de cette procédure, s’agissant d’individus opérant depuis l’étranger, singulièrement depuis la ville de Hong Kong. Pour l’heure, il n’a pas récupéré d’argent.</w:t>
      </w:r>
    </w:p>
    <w:p>
      <w:r>
        <w:t>- 10 - En relation avec les faits décrits ci-dessous, le prévenu a bénéficié, de la part de son père, [...], d’un prêt de 500'000 fr., consenti par versements successifs. En tenant compte de ce prêt, des montants détournés (cf. infra, ch. 2) et des propres deniers investis par l’appelant, F.________ dit avoir investi un montant minimum de 800'000 fr. dans la société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w:t>
      </w:r>
    </w:p>
    <w:p>
      <w:r>
        <w:t>- 12 -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w:t>
      </w:r>
    </w:p>
    <w:p>
      <w:r>
        <w:rPr>
          <w:b/>
        </w:rPr>
        <w:t>E. 3</w:t>
      </w:r>
    </w:p>
    <w:p>
      <w:r>
        <w:t>Appel d’F.________</w:t>
      </w:r>
    </w:p>
    <w:p>
      <w:r>
        <w:rPr>
          <w:b/>
        </w:rPr>
        <w:t>E. 3.1</w:t>
      </w:r>
    </w:p>
    <w:p>
      <w:r>
        <w:t>L’appelant admet l’incrimination pénale. La qualification juridique n’est pas davantage contestée. Relevant qu’il a spontanément avoué les faits, qu’il a réparé le dommage, que l’intérêt public à la poursuite pénale est peu important, pour ne pas dire inexistant, et que le contexte de l’infraction lui est favorable, dès lors qu’il a lui-même été victime d’une escroquerie, il entend être mis au bénéfice de l’art. 53 CP.</w:t>
      </w:r>
    </w:p>
    <w:p>
      <w:r>
        <w:rPr>
          <w:b/>
        </w:rPr>
        <w:t>E. 3.2</w:t>
      </w:r>
    </w:p>
    <w:p>
      <w:r>
        <w:t>Selon l'art. 53 CP (teneur en vigueur depuis le 1er juillet 2019), lorsque l’auteur a réparé le dommage ou accompli tous les efforts que l’on pouvait raisonnablement attendre de lui pour compenser le tort qu’il a causé, l’autorité compétente renonce à le poursuivre, à le renvoyer devant le juge ou à lui infliger une peine : (a) s’il encourt une peine privative de liberté d’un an au plus avec sursis, une peine pécuniaire avec sursis ou une amende; (b) si l’intérêt public et l’intérêt du lésé à poursuivre l’auteur pénalement sont peu importants, et (c) si l’auteur a admis les faits. Cette disposition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w:t>
      </w:r>
    </w:p>
    <w:p>
      <w:r>
        <w:t>- 13 - Par ailleurs, il convient d'éviter de privilégier les auteurs fortunés susceptibles de monnayer leur sanction (cf., ad art. 53 aCP, ATF 135 IV 12 consid. 3.4.1 p. 21; TF 6B_91/2021 du 30 juin 2021 consid. 1.3.1; TF 6B_346/2020 du 21 juillet 2020 consid. 2.2).</w:t>
      </w:r>
    </w:p>
    <w:p>
      <w:r>
        <w:rPr>
          <w:b/>
        </w:rPr>
        <w:t>E. 3.3</w:t>
      </w:r>
    </w:p>
    <w:p>
      <w:r>
        <w:t>On peut donner acte à l’appelant que les conditions du sursis sont réalisées et qu’il a admis les faits; en outre, le dommage a été réparé. Toutefois, les actes incriminés apparaissent d’une particulière gravité. Il s’agit en effet d'un détournement de fonds au préjudice d’une association sportive, portant sur un montant considérable. L’abus de confiance se subdivise en quatre actes distincts s’étendant sur un peu plus d’un mois, ce qui souligne une importante détermination délictuelle chez l’auteur. C’est le fait du trésorier habilité à engager l’association sous sa seule signature, soit de celui qui jouit d’une confiance accrue du lésé. Enfin, le crime répond à un mobile originel vénal, savoir celui de s’enrichir par des rendements financiers inusuels. On peut encore observer qu’au moment du premier prélèvement au préjudice de l’association, le 26 février 2020, le prévenu ne subissait pas encore de pressions de la société d’investissement. Le contexte dans lequel s’inscrit l’infraction, que l’appelant considère comme lui étant favorable, doit être minimisé. Indépendamment de l’issue de sa plainte pénale, il faut au contraire retenir que l’appelant n’a pas agi sous l’emprise de la société d’investissement au moment de débuter ses malversations. Il est vrai que le dommage a été réparé. Il est aussi vrai que l’appelant a avoué avoir prélevé indûment des montants appartenant à l’association lésée. Mais ces deux éléments doivent être relativisés. Le dommage a été réparé par le père de l’appelant pour l’essentiel. De son coté, F.________ ne rembourse sa dette qu’au gré de ses possibilités, ce qui ne dénote pas un effort particulier de sa part. Quant à l’auto-dénonciation, elle n’intervient que deux mois après le dernier acte délictueux. L’aveu</w:t>
      </w:r>
    </w:p>
    <w:p>
      <w:r>
        <w:t>- 14 - n’est pas spontané. De plus, si l’on se réfère au procès-verbal de l’assemblée extraordinaire du 27 juin 2020 tenue par les membres du [...], on constate que l’appelant met surtout en avant le fait qu’il a été victime d’une « arnaque » et les conséquences catastrophiques qu’aurait pour lui le dépôt d’une plainte pénale par l’association lésée. Cela dénote une faible prise de conscience, impression que l’appelant a aussi donnée à la Cour lorsqu’il a été interrogé. Il n’y a, en conclusion, pas de place pour l’application de l'art. 53 CP ni, d’ailleurs, pour une éventuelle application de l’art. 48 CP (repentir sincère), de sorte que l’appel du prévenu doit être rejeté.</w:t>
      </w:r>
    </w:p>
    <w:p>
      <w:r>
        <w:rPr>
          <w:b/>
        </w:rPr>
        <w:t>E. 4</w:t>
      </w:r>
    </w:p>
    <w:p>
      <w:r>
        <w:t>Appel du Ministère public</w:t>
      </w:r>
    </w:p>
    <w:p>
      <w:r>
        <w:rPr>
          <w:b/>
        </w:rPr>
        <w:t>E. 4.1</w:t>
      </w:r>
    </w:p>
    <w:p>
      <w:r>
        <w:t>Le Ministère public conclut au prononcé d’une peine privative de liberté d’une quotité de dix mois. La première question à trancher est celle du genre de la peine.</w:t>
      </w:r>
    </w:p>
    <w:p>
      <w:r>
        <w:rPr>
          <w:b/>
        </w:rPr>
        <w:t>E. 4.2</w:t>
      </w:r>
    </w:p>
    <w:p>
      <w:r>
        <w:t>Aux termes de l'art. 41 al. 1 CP, dans sa teneur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w:t>
      </w:r>
    </w:p>
    <w:p>
      <w:r>
        <w:t>- 15 - (ATF 144 IV 313 consid. 1.1.1; ATF 134 IV 97 consid. 4.2.2). Le choix de la sanction doit être opéré en tenant compte au premier chef de l'adéquation de la peine, de ses effets sur l'auteur et sur sa situation sociale ainsi que de son efficacité du point de vue de la prévention (ATF 144 IV 313 consid. 1.1.1; ATF 137 II 297 consid. 2.3.4; ATF 134 IV 97 consid. 4.2). La faute de l'auteur n'est en revanche pas déterminante (ATF 144 IV 313 consid. 1.1.1; ATF 137 Il 297 consid. 2.3.4; plus récemment, TF 6B_792/2021 du 14 février 2022 consid. 1.1; TF 6B_354/2021 du 1er novembre 2021 consid. 4.1; TF 6B_420/2017 du 15 novembre 2017 consid. 2.1).</w:t>
      </w:r>
    </w:p>
    <w:p>
      <w:r>
        <w:rPr>
          <w:b/>
        </w:rPr>
        <w:t>E. 4.3</w:t>
      </w:r>
    </w:p>
    <w:p>
      <w:r>
        <w:t>Dans le cas particulier, une peine de 180 jours équivalente à une amende de 9'000 fr. (180 jours-amende à 50 fr.), assortie d’un délai d’épreuve de deux ans, n’est pas suffisante sous l’angle de la prévention spéciale pour sanctionner quatre cas d’abus de confiance portant sur un montant total de 119'000 francs. En effet, comme déjà relevé sous l’angle de l’art. 53 CP, le mobile est vénal. L’auteur, qui jouit d’une responsabilité pénale entière, est au bénéfice d’une formation universitaire complète. Au moment des actes, l’appelant exerçait une profession exigeant qu’il se soumette à des règles déontologiques et fasse preuve de probité dans son comportement en général. Il avait l’entière confiance de l’association lésée. Si le dommage a pu être réparé, c’est dans une large mesure grâce à l’intervention de son père. La réparation dont il se prévaut ne provient ainsi, pour l’essentiel, pas de ses efforts, soit de sacrifices personnels qu’il aurait consentis à cette fin. Dans ces circonstances, une peine en jours-amende, même de la durée maximale prévue par l’art. 34 CP, est insuffisante pour garantir à l’Etat l’exercice de son droit de répression. Ainsi, pour des raisons de prévention spéciale, seule une peine privative de liberté est envisageable. Le moyen portant sur le genre de la peine est ainsi fondé et doit être admis.</w:t>
      </w:r>
    </w:p>
    <w:p>
      <w:r>
        <w:rPr>
          <w:b/>
        </w:rPr>
        <w:t>E. 5</w:t>
      </w:r>
    </w:p>
    <w:p>
      <w:r>
        <w:t>Il reste à déterminer la quotité de la peine privative de liberté.</w:t>
      </w:r>
    </w:p>
    <w:p>
      <w:r>
        <w:t>- 16 -</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ATF 141 IV 61 consid. 6.1.1 et les références citées; TF 6B_757/2020 du 4 novembre 2020 consid. 3.1.1).</w:t>
      </w:r>
    </w:p>
    <w:p>
      <w:r>
        <w:rPr>
          <w:b/>
        </w:rPr>
        <w:t>E. 5.2</w:t>
      </w:r>
    </w:p>
    <w:p>
      <w:r>
        <w:t>A charge, il doit être retenu, comme déjà relevé sous l’angle de l’art. 53 CP, que l’auteur a trahi la confiance de l’association dont il gérait les comptes; il a agi à quatre reprises en un peu plus d’un mois, l’ampleur des prélèvements étant même croissante au fil du temps; il a occasionné un préjudice particulièrement important; il a, ce faisant, porté atteinte à la mission d’intérêt général dévolue à une association sportive subventionnée; il a été mû par un mobile purement vénal; il a fait fi de la plus élémentaire probité, alors que sa formation et sa profession devaient le rendre tout particulièrement attentif à l’illicéité, à la gravité et aux conséquences de son comportement.</w:t>
      </w:r>
    </w:p>
    <w:p>
      <w:r>
        <w:t>- 17 - A décharge, la Cour tient pour vraisemblable que le prévenu a été victime d’une escroquerie. On retiendra en outre en faveur du prévenu les conséquences de ses actes sur l’auteur, qui est à présent ruiné alors que son avenir s’avérait prometteur. Constituent en outre des facteurs favorables son intégration socio-professionnelle avant les faits incriminés et son souhait de retrouver une activité lucrative pérenne lui permettant de subvenir à ses besoins. Doivent également, dans une certaine mesure, être retenus à décharge ses aveux, qui dénotent une prise de conscience, même si elle n’apparaît que partielle (cf. supra consid. 3.3). Sera enfin pris en compte le fait que le dommage a été entièrement réparé. L’absence d’antécédent est un facteur neutre au regard de l’art. 47 CP (ATF 136 IV 1). Compte de tous les éléments à charge et à décharge, la faute du prévenu doit être tenue pour lourde. La peine d’une quotité de dix mois requise par le Ministère public est adéquate. Elle tient précisément compte du contexte des infractions décrit ci-dessus. L’appel du Ministère public doit donc être admis.</w:t>
      </w:r>
    </w:p>
    <w:p>
      <w:r>
        <w:rPr>
          <w:b/>
        </w:rPr>
        <w:t>E. 6</w:t>
      </w:r>
    </w:p>
    <w:p>
      <w:r>
        <w:t>Le prévenu succombe sur ses conclusions d’appel, alors que le Ministère public obtient l’adjudication des siennes. Vu l’issue de l’appel, les frais d’appel (art. 21 al. 1 et 2 TFIP [Tarif des frais de procédure et indemnités en matière pénale du 28 septembre 2010; RSV 312.03.1]), limités à l’émolument, par 1'910 fr., seront mis à la charge de l’appelant F.________, qui succombe entièrement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