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PE20.015529 vom 3. Mai 2024</w:t>
      </w:r>
    </w:p>
    <w:p>
      <w:r>
        <w:t>VD Tribunal cantonal, 2024-05-03, FR</w:t>
      </w:r>
    </w:p>
    <w:p>
      <w:r>
        <w:rPr>
          <w:b/>
        </w:rPr>
        <w:t xml:space="preserve">Quelle: </w:t>
      </w:r>
      <w:r>
        <w:t>https://mcp.opencaselaw.ch/entscheid/vd_gerichte_PE20.015529</w:t>
      </w:r>
    </w:p>
    <w:p>
      <w:r>
        <w:t>FR: VD_GERICHTE PE20.015529 du 3 mai 2024</w:t>
      </w:r>
    </w:p>
    <w:p>
      <w:r>
        <w:t>IT: VD_GERICHTE PE20.015529 del 3 maggio 2024</w:t>
      </w:r>
    </w:p>
    <w:p>
      <w:pPr>
        <w:pStyle w:val="Heading2"/>
      </w:pPr>
      <w:r>
        <w:t>Erwägungen</w:t>
      </w:r>
    </w:p>
    <w:p>
      <w:r>
        <w:rPr>
          <w:b/>
        </w:rPr>
        <w:t>E. 1</w:t>
      </w:r>
    </w:p>
    <w:p>
      <w:r>
        <w:t>Le plaignant qui entend contester un classement ou une non- entrée en matière implicite doit emprunter la voie du recours prévue à l’art. 322 al. 2 CPP (ATF 138 IV 241 consid. 2.6 ; CREP 25 mai 2018/392 consid. 1.3). L'opposition du 23 octobre 2023, transmise à la Chambre de céans par le Ministère public en application de l'art. 91 al. 4 CPP, a été déposée dans le délai de 10 jours et respecte par ailleurs les exigences de forme du recours (art. 385 al. 1 CPP). L'acte déposé au nom de Q.________ et H.________ est donc recevable en tant que recours. Celui déposé au nom de B.________ est en revanche irrecevable, celui-ci s'étant vu dénier la qualité partie plaignante le 13 novembre 2020 et n'ayant dès lors pas la qualité pour recourir.</w:t>
      </w:r>
    </w:p>
    <w:p>
      <w:r>
        <w:rPr>
          <w:b/>
        </w:rPr>
        <w:t>E. 2.1</w:t>
      </w:r>
    </w:p>
    <w:p>
      <w:r>
        <w:t>; TF 6B_641/2020 du 8 septembre 2020 consid. 1 ; TF 6B_1276/2019 du 27 février 2020 consid. 3.1 et les références citées).</w:t>
      </w:r>
    </w:p>
    <w:p>
      <w:r>
        <w:rPr>
          <w:b/>
        </w:rPr>
        <w:t>E. 2.2.1</w:t>
      </w:r>
    </w:p>
    <w:p>
      <w:r>
        <w:t>Conformément à l'art. 311 al. 2 CPP, le ministère public peut étendre l'instruction à d'autres prévenus et à d'autres infractions, l'art. 309 al. 3 CPP étant alors applicable. La partie plaignante est fondée à formuler une requête tendant à une telle extension de l'instruction (cf. art. 109 al. 1 CPP). Si cette requête peut être assimilée à une plainte (art. 303 CPP et 304 CPP), il appartient alors au ministère public de rendre une décision formelle en procédant, mutatis mutandis, conformément aux art. 309 CPP et 310 CPP (Grodecki/Cornu, in Jeanneret/Kuhn/Perrier Depeursinge, Commentaire romand, Code de procédure pénale, 2e éd.</w:t>
      </w:r>
    </w:p>
    <w:p>
      <w:r>
        <w:t>- 6 - 2019, n° 17 ad art. 311 CPP ; Moreillon/Parein-Reymond, Petit commentaire, Code de procédure pénale, 2e éd. 2019, n° 15 ad art. 311 CPP). S'il rejette la requête d'extension, sa décision s'apparente à une non- entrée en matière au sens de l'art. 310 CPP (Schmid/Jositsch, Schweizerische Strafprozessordnung [StPO], Praxiskommentar, 3e éd. 2018, n° 7 ad art. 311 CPP ; TF 6B_666/2021 du 13 janvier 2023, consid.</w:t>
      </w:r>
    </w:p>
    <w:p>
      <w:r>
        <w:rPr>
          <w:b/>
        </w:rPr>
        <w:t>E. 2.2.2</w:t>
      </w:r>
    </w:p>
    <w:p>
      <w:r>
        <w:t>La forme et le contenu de l'ordonnance de non-entrée en matière sont régis par les art. 80 et 81 CPP (art. 320 al. 1 CPP, applicable par renvoi de l'art. 310 al. 2 CPP). L'ordonnance de non-entrée en matière doit être motivée et rendue par écrit (art. 80 al. 2 CPP). En tant que prononcé de clôture de la procédure, elle contient une introduction, un exposé des motifs, un dispositif et l'indication des voies de droit (art. 81 CPP). Selon la jurisprudence, l'abandon de la poursuite pénale est ainsi subordonné au prononcé d'une ordonnance formelle de classement, mentionnant expressément les faits que le ministère public renonce à poursuivre, de manière à en définir clairement et formellement les limites (ATF 138 IV 241 consid. 2.5 ; TF 6B_690/2014 et 6B_714/2014 du 12 juin 2015 consid. 4.2). A défaut, on se trouve en présence d'un classement implicite, qui doit être annulé (CREP 8 novembre 2021/1013 consid. 2.1 ; CREP 19 mai 2020/383 consid. 4.2.1 ; CREP 12 juin 2017/383 ; CREP 1er décembre 2015/780 ; CREP 11 décembre 2014/883). Il doit en aller de même d'une non-entrée en matière, à laquelle les dispositions sur le classement de la procédure sont applicables (art. 310 al. 2 CPP). Sous réserve de circonstances particulières, l'annulation doit frapper uniquement la décision implicite elle-même, mais non pas l'ordonnance attaquée en tant que telle (CREP 8 novembre 2021/1013 consid. 2.1 ; CREP 19 mai 2020/383 consid. 4.2.1 ; CREP 12 juin 2017/383 ; CREP 1er décembre 2015/780 ; CREP 30 juin 2015/447).</w:t>
      </w:r>
    </w:p>
    <w:p>
      <w:r>
        <w:rPr>
          <w:b/>
        </w:rPr>
        <w:t>E. 2.3</w:t>
      </w:r>
    </w:p>
    <w:p>
      <w:r>
        <w:t>En l'espèce, le courrier que les recourants ont adressé au Ministère public le 4 septembre 2023 (P. 42) devait être considéré comme une requête d'extension de l'instruction aux représentants de la société</w:t>
      </w:r>
    </w:p>
    <w:p>
      <w:r>
        <w:t>- 7 - G.________ sur laquelle le Ministère public aurait donc dû statuer formellement. Dans ses déterminations du 26 avril 2024, le Ministère public indique qu’après avoir procédé à l’audition du directeur de la société G.________, il avait estimé qu’il n’y avait pas d’élément permettant de mettre en cause la responsabilité pénale de ce dernier, même par omission. Or, l'ordonnance rendue le 10 octobre 2023 ne contient aucune considération sur cette question. C'est donc à juste titre que les recourants soutiennent qu'on est en présence d'une ordonnance de non- entrée en matière implicite. Conformément à la jurisprudence rappelée ci- dessus, cette ordonnance implicite doit être annulée et le dossier retourné au Ministère public pour qu'il rende une décision formelle sur la requête d’extension de la procédure pénale à l’encontre des représentants de la société G.________.</w:t>
      </w:r>
    </w:p>
    <w:p>
      <w:r>
        <w:rPr>
          <w:b/>
        </w:rPr>
        <w:t>E. 3</w:t>
      </w:r>
    </w:p>
    <w:p>
      <w:r>
        <w:t>Il résulte de ce qui précède que le recours doit être admis dans la mesure de sa recevabilité. L’ordonnance attaquée doit ainsi être annulée en tant qu’elle vaut refus implicite d’entrer en matière sur la requête d’extension de la procédure pénale à l’encontre des représentants de la société G.________. Les frais de la procédure de recours, constitués en l'espèce du seul émolument d'arrêt, par 880 fr. (art. 20 al. 1 TFIP [tarif des frais de procédure et indemnités en matière pénale ; BLV 312.03.1]), seront mis par un tiers, soit 293 fr. 30, à la charge de B.________ dont le recours est déclaré irrecevable et qui succombe, le solde étant laissé à la charge de l’Etat (art. 428 al. 1, 1ère phrase CPP). Obtenant partiellement gain de cause dans la mesure de la recevabilité de leur recours, les recourants, qui ont procédé avec l’assistance d’un avocat de choix, ont droit à une indemnité réduite pour les dépenses occasionnées par la procédure de recours (art. 433 al. 1 let. a CPP, applicable par renvoi de l’art. 436 al. 1 CPP). Au vu des écritures au dossier et de la nature de l’affaire, l’indemnité pleine peut être fixée à 300 fr., sur la base d’une heure d’activité nécessaire d’avocat au tarif horaire de 300 fr. (art. 26a al. 3 TFIP [tarif des frais de procédure et indemnités en</w:t>
      </w:r>
    </w:p>
    <w:p>
      <w:r>
        <w:t>- 8 - matière pénale du 28 septembre 2010 ; BLV 312.03.1]), à laquelle il faut ajouter 2 % pour les débours (art. 19 al. 2 TDC [tarif des dépens en matière civile du 23 novembre 2010 ; BLV 270.11.6] par renvoi de l'art. 26a al. 6 TFIP), soit 6 fr., plus la TVA sur le tout, par 23 fr. 55, ce qui correspond à un total de 330 fr. en chiffres arrondis. Pour tenir compte de la mesure dans laquelle le recours est admis et par parallélisme avec le sort des frais, cette indemnité sera réduite d’un tiers et ainsi arrêtée au montant de 220 fr., à la charge de l’Etat. Il n’y a pas lieu d’allouer d’indemnité à D.________ qui a renoncé à se déterminer et n’a rien réclamé dans son courrier du 26 avril 2024. Par ces motifs, la Chambre des recours pénale prononce : I. Le recours est admis dans la mesure où il est recevable. II. L’ordonnance du 10 octobre 2023 est annulée en tant qu’elle vaut refus implicite d’entrer en matière sur la requête d’extension de l’instruction aux représentants de G.________. III. Les frais de la procédure, soit 880 fr. (huit cent huitante francs), sont mis par un tiers, soit 293 fr. 30 (deux cent nonante-trois francs et trente centimes), à la charge de B.________, le solde étant laissé à la charge de l’Etat. IV. Une indemnité réduite de 220 fr. (deux cent vingt francs) est allouée à Q.________ et H.________, solidairement entre eux, pour les dépenses occasionnées par la procédure de recours, à la charge de l’Etat. V. L’arrêt est exécutoire.</w:t>
      </w:r>
    </w:p>
    <w:p>
      <w:r>
        <w:t>- 9 - Le président : La greffière : Du Le présent arrêt, dont la rédaction a été approuvée à huis clos, est notifié, par l'envoi d'une copie complète, à : - Me Christian Dénériaz, avocat (pour Q.________, H.________ et B.________), - Ministère public central, et communiqué à : - Mme la Procureur de l’arrondissement de l’Est vaudois, - Me Youri Widmer, avocat (pour D.________), - Service de la population, - Service des automobiles et de la navigation (réf. : 00.031.604.877),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