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PE20.015510 vom 3. Februar 2023</w:t>
      </w:r>
    </w:p>
    <w:p>
      <w:r>
        <w:t>VD Tribunal cantonal, 2023-02-03, FR</w:t>
      </w:r>
    </w:p>
    <w:p>
      <w:r>
        <w:rPr>
          <w:b/>
        </w:rPr>
        <w:t xml:space="preserve">Quelle: </w:t>
      </w:r>
      <w:r>
        <w:t>https://mcp.opencaselaw.ch/entscheid/vd_gerichte_PE20.015510</w:t>
      </w:r>
    </w:p>
    <w:p>
      <w:r>
        <w:t>FR: VD_GERICHTE PE20.015510 du 3 février 2023</w:t>
      </w:r>
    </w:p>
    <w:p>
      <w:r>
        <w:t>IT: VD_GERICHTE PE20.015510 del 3 febbraio 2023</w:t>
      </w:r>
    </w:p>
    <w:p>
      <w:pPr>
        <w:pStyle w:val="Heading2"/>
      </w:pPr>
      <w:r>
        <w:t>Erwägungen</w:t>
      </w:r>
    </w:p>
    <w:p>
      <w:r>
        <w:rPr>
          <w:b/>
        </w:rPr>
        <w:t>E. 1.1</w:t>
      </w:r>
    </w:p>
    <w:p>
      <w:r>
        <w:t>Interjeté dans les formes et délai légaux (art. 385 et 399 CPP) par une partie ayant qualité pour recourir contre le jugement d’un tribunal de première instance qui a clos la procédure (art. 398 al. 1 CPP), l’appel de X.________ est recevable.</w:t>
      </w:r>
    </w:p>
    <w:p>
      <w:r>
        <w:t>- 4 -</w:t>
      </w:r>
    </w:p>
    <w:p>
      <w:r>
        <w:rPr>
          <w:b/>
        </w:rPr>
        <w:t>E. 1.2</w:t>
      </w:r>
    </w:p>
    <w:p>
      <w:r>
        <w:t>Dès lors qu'il ne porte que sur les frais, l'appel est traité en procédure écrite, conformément à l'art.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3.1</w:t>
      </w:r>
    </w:p>
    <w:p>
      <w:r>
        <w:t>L’appelant conteste le montant des frais de justice mis à sa charge par le Tribunal de police. Il fait valoir que ce n’est pas uniquement son comportement à lui qui aurait donné lieu à l’ouverture de la procédure pénale, rappelant que celle-ci s’est conclue par la signature d’une convention à l’audience du 25 novembre 2022. Il affirme avoir signé cette convention en se fondant sur la conviction que cet accord serait pris en considération lors de la répartition des frais, dont une partie seulement serait mise à sa charge. Au moment de signer l’accord intervenu, il se serait fié de bonne foi aux assurances qui lui auraient été données par l’autorité de première instance sur le fait qu’elle prendrait favorablement en compte un accord passé à l’audience de jugement pour diminuer les frais de justice devant lui être imputés. Il se dit victime d’une injustice en raison de ce que la totalité des frais de justice a été mise à sa charge, sa</w:t>
      </w:r>
    </w:p>
    <w:p>
      <w:r>
        <w:t>- 5 - situation étant plus défavorable selon lui que celle qui aurait été la sienne s’il n’avait pas signé l’accord en question. Il estime également que l’autorité judiciaire aurait ainsi trahi la confiance qu’il avait placée en elle.</w:t>
      </w:r>
    </w:p>
    <w:p>
      <w:r>
        <w:rPr>
          <w:b/>
        </w:rPr>
        <w:t>E. 3.2</w:t>
      </w:r>
    </w:p>
    <w:p>
      <w:r>
        <w:t>D'un point de vue procédural, un retrait de plainte s'apparente à un classement (cf. art. 319 al. 1 let. d CPP ; TF 6B_1065/2015 du 15 septembre 2016 consid. 2.1). Le sort des frais de procédure à l’issue d’une décision de classement est régi par les art. 422 ss CPP. En principe, ils sont mis à la charge de la Confédération ou du canton qui a conduit la procédure, les dispositions contraires du CPP étant réservées (art. 423 al. 1 CPP).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TF 6B_162/2022 du 9 janvier 2023 consid. 2.1). Pour déterminer si le comportement en cause est propre à justifier l'imputation des frais ou le refus d'une indemnité, le juge peut prendre en considération toute norme de comportement écrite ou non</w:t>
      </w:r>
    </w:p>
    <w:p>
      <w:r>
        <w:t>- 6 - écrite résultant de l'ordre juridique suisse pris dans son ensemble, dans le sens d'une application par analogie des principes découlant de l'art. 41 CO. Le fait reproché doit constituer une violation claire de la norme de comportement. Le comportement en question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précité ; TF 6B_762/2022 du 11 janvier 2023 consid. 2.1.1). Le juge ne peut fonder sa décision que sur des faits incontestés ou déjà clairement établis (ATF 112 Ia 371 consid. 2a ; TF 7B_46/2022 du 31 août 2023 consid. 2.1.1 et les réf. cit.). L’imputation des frais ou d’une partie de ceux-ci n’entre en ligne de compte que si l’acte est prouvé ou que le prévenu a avoué (TF 6B_150/2014 du 23 septembre 2014 consid. 1.2 ; TF 6B_540/2013 du 17 mars 2014 consid. 1.3). La condamnation d'un prévenu acquitté à supporter tout ou partie des frais peut en principe se fonder sur l'art. 28 CC (Code civil du 10 décembre 1907 ; RS 210).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cette atteinte pouvant découler aussi bien d’une atteinte à l’intégrité physique que psychique (TF 6B_1094/2019 du 25 juin 2020 consid. 2.2).</w:t>
      </w:r>
    </w:p>
    <w:p>
      <w:r>
        <w:rPr>
          <w:b/>
        </w:rPr>
        <w:t>E. 3.3</w:t>
      </w:r>
    </w:p>
    <w:p>
      <w:r>
        <w:t>En l’espèce, le premier juge a retenu notamment ce qui suit : « […] si X.________ a admis avoir proféré les insultes contenues dans l’acte d’accusation, il a toujours contesté avoir donné un coup de poing à W.________ ou l’avoir menacé. Aucun des témoins entendus par la Gendarmerie de [...] et le</w:t>
      </w:r>
    </w:p>
    <w:p>
      <w:r>
        <w:t>- 7 - Ministère public de l’arrondissement de La Côte n’a été en mesure d’affirmer que le prévenu aurait usé de violence ou de menaces envers W.________. Partant, le premier élément constitutif de l’infraction n’est pas établi, ce qui entraine la libération du prévenu du chef de prévention principal. Quant aux chefs de prévention subsidiaires, le retrait de plainte est opérant.</w:t>
      </w:r>
    </w:p>
    <w:p>
      <w:r>
        <w:rPr>
          <w:b/>
        </w:rPr>
        <w:t>E. 5</w:t>
      </w:r>
    </w:p>
    <w:p>
      <w:r>
        <w:t>Les frais de la cause s’élèvent à CHF 3’830.-, soit CHF 3’430.- pour la procédure devant le Ministère public et la Chambre des recours pénale du Tribunal cantonal et CHF 400.- pour l’audience tenue devant le Tribunal de céans (cf. art. 19 al. 1 TFIP). X.________ est en définitive libéré de tous chefs de prévention, pour l’essentiel suite au retrait de plainte de W.________. Il n’en demeure pas moins que son comportement a été à l’origine de l’ouverture de la poursuite pénale à son encontre, ce qui justifie de mettre les frais de procédure à sa charge. ». Si la convention n’était pas intervenue, l’appelant aurait été condamné pour injure. En revanche, comme le mentionne le premier juge, l’appelant aurait été libéré des deux autres chefs d’accusation, faute de preuve suffisante, à tout le moins au bénéfice du doute. La situation procédurale justifiait donc qu’une partie au moins des frais de justice soit mise à la charge de l’appelant, dont le comportement insultant a provoqué l’ouverture de l’enquête pénale et a porté atteinte à la personnalité du plaignant (art. 426 al. 2 CPP et art. 28 CC). La mise à sa charge de l’entier des frais apparaît toutefois excessive, ce d’autant plus que l’appelant s’est acquitté d’un montant de 3'000 fr. en faveur du plaignant, montant relativement généreux compte tenu des faits dénoncés et du résultat possible auquel la procédure serait parvenue. A la rigueur du droit, si l’affaire avait dû être jugée et dans l’hypothèse d’une libération de l’appelant du chef d’accusation de menaces, il n’était au surplus théoriquement pas exclu de faire supporter une partie des frais de justice par la partie plaignante (art. 427 CPP). Ainsi, indépendamment de ce qui a pu être dit et compris à l’audience de jugement, il apparaît qu’une appréciation du résultat probable de l’instruction aurait dû conduire à ne mettre qu’une partie des frais de justice à la charge de l’appelant, dont la quotité devait tenir compte d’une libération des infractions de violence ou menace contre les autorités et les fonctionnaires, subsidiairement voies de faits et menaces,</w:t>
      </w:r>
    </w:p>
    <w:p>
      <w:r>
        <w:t>- 8 - ce qui représente les deux tiers des infractions dénoncées. Les frais se chiffrant à 2'950 fr., c’est un montant de 983 fr. 30 qu’il se justifiait de mettre à la charge de l’appelant. Celui-ci conclut à ce que des frais à hauteur de 985 fr. soient mis à sa charge, montant qui paraît équitable et opportun. 4. En définitive, l’appel de X.________ doit être admis et le dispositif du jugement entrepris modifié au chiffre IV de son dispositif dans le sens des considérants. Vu l’issue de la cause, les frais de la procédure d’appel, par 880 fr., constitués du seul émolument de jugement (art. 21 al. 1 et 2 TFIP [tarif des frais de procédure et indemnités en matière pénale du 28 septembre 2010 ; BLV 312.03.1]), seront laissés à la charge de l’Etat (art. 423 CPP). Au vu de ce qui précède, l’appelant a droit, sous l’angle de l’art. 429 CPP, à une indemnité pour les dépenses occasionnées par l’exercice raisonnable de ses droits de procédure dans la procédure d’appel. A cet égard, Me Oana Stehle Halaucescu, défenseure de choix, a conclu à l’octroi d’une indemnité de 1’350 fr., débours et TVA compris, représentant 3 heures d’activité d’avocat au tarif horaire annoncé de 450 fr. (cf. P. 51). Il n’y a pas lieu de s’écarter de la liste d’opérations produite, sous réserve du tarif horaire de 250 fr. qui doit être appliqué, compte tenu du caractère très limité de l’appel et de l’absence de complexité particulière. C’est ainsi une indemnité de 750 fr. (3h x 250 francs) plus 2% de débours, par 15 fr., plus la TVA au taux de 7.7%, s’agissant uniquement d’opérations effectuées avant le 1er janvier 2024, par 58 fr. 90, soit au total 823 fr. 90, qui sera allouée à X.________ pour ses frais de défense en appel,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