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PE20.015330 vom 10. Juni 2022</w:t>
      </w:r>
    </w:p>
    <w:p>
      <w:r>
        <w:t>VD Tribunal cantonal, 2022-06-10, FR</w:t>
      </w:r>
    </w:p>
    <w:p>
      <w:r>
        <w:rPr>
          <w:b/>
        </w:rPr>
        <w:t xml:space="preserve">Quelle: </w:t>
      </w:r>
      <w:r>
        <w:t>https://mcp.opencaselaw.ch/entscheid/vd_gerichte_PE20.015330</w:t>
      </w:r>
    </w:p>
    <w:p>
      <w:r>
        <w:t>FR: VD_GERICHTE PE20.015330 du 10 juin 2022</w:t>
      </w:r>
    </w:p>
    <w:p>
      <w:r>
        <w:t>IT: VD_GERICHTE PE20.015330 del 10 giugno 2022</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 prévenu qui a qualité pour recourir dans la mesure où il conteste la mise à sa charge des frais (art. 382 al. 1 CPP), et satisfaisant aux conditions de forme prescrites (art. 385 al. 1 CPP), le recours est recevable. En revanche, il doit être déclaré irrecevable s’agissant de la conclusion prise par A.X.________ en faveur de B.X.________, en ce sens que les frais la concernant soient également laissés à la charge de l’Etat. En effet, le recourant n’a pas qualité pour agir en faveur de cette dernière, fût-elle son épouse, n’étant pas lésé dans ses droits par cette partie du dispositif.</w:t>
      </w:r>
    </w:p>
    <w:p>
      <w:r>
        <w:rPr>
          <w:b/>
        </w:rPr>
        <w:t>E. 1.2</w:t>
      </w:r>
    </w:p>
    <w:p>
      <w:r>
        <w:t>La Chambre des recours pénale in corpore est compétente pour statuer sur le recours de A.X.________, dès lors que, compte tenu des conclusions qu’il a prises pour lui-même et son épouse, le montant litigieux est supérieur à 5'000 francs (art. 395 let. b CPP a contrario).</w:t>
      </w:r>
    </w:p>
    <w:p>
      <w:r>
        <w:rPr>
          <w:b/>
        </w:rPr>
        <w:t>E. 2</w:t>
      </w:r>
    </w:p>
    <w:p>
      <w:r>
        <w:t>Le recourant invoque une violation de l’art. 426 al. 2 CPP. Il conteste avoir adopté un comportement illicite et fautif qui aurait donné lieu à l’ouverture de l’action pénale.</w:t>
      </w:r>
    </w:p>
    <w:p>
      <w:r>
        <w:t>- 5 -</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(ATF 144 IV 202 consid. 2.2 et les arrêts cités ; TF 6B_1231/2021 du 4 janvier 2022 consid. 2.1).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précité). La relation de causalité est réalisée lorsque, selon le cours ordinaire des choses et l'expérience de la vie, le comportement de la personne concernée était de nature à provoquer l'ouverture de la procédure pénale et le dommage ou les frais que celle-ci a entraînés (TF 6B_548/2018 du 18 juillet 2018 consid. 1.1.1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TF 6B_1231/2021 précité). Une condamnation aux frais ne peut se justifier que si, en raison du comportement illicite du prévenu, l'autorité était légitimement en droit d'ouvrir une enquête. Elle est en tout</w:t>
      </w:r>
    </w:p>
    <w:p>
      <w:r>
        <w:t>- 6 -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6B_511/2021 du 18 novembre 2021 consid. 1.1). Sur la base de ces principes généraux, la jurisprudence admet que la condamnation d'un prévenu acquitté à supporter tout ou partie des frais peut se fonder sur une violation de l'art. 28 al. 1 CC (Code civil suisse du 10 décembre 1907 ; RS 210), qui prohibe toute atteinte illicite à la personnalité. Les droits de la personnalité sont en particulier violés par les atteintes à l'intégrité physique et psychique. L’atteinte doit toutefois revêtir une certaine intensité. La sensibilité subjective de la personne concernée n’entre pas en ligne de compte. L’intensité de l’atteinte doit être évaluée selon des critères objectifs (TF 6B_1094/2019 du 25 juin 2020 consid. 2.2 et les références citées ; TF 6B_1038/2019 du 30 avril 2020 et les références citées). Cette jurisprudence s’applique également aux procédures suspendues en application de l’art. 55a CP (TF 6B_1094/2019 précité et les références citées).</w:t>
      </w:r>
    </w:p>
    <w:p>
      <w:r>
        <w:rPr>
          <w:b/>
        </w:rPr>
        <w:t>E. 2.2.1</w:t>
      </w:r>
    </w:p>
    <w:p>
      <w:r>
        <w:t>Dans un premier moyen, le recourant expose que l’enquête n’a pas établi la réalité des faits reprochés par son épouse. Il reconnait certes l’avoir saisie par les bras, mais précise avoir agi de la sorte uniquement jusqu’en 2019. Il relève en outre qu’il a déposé plainte contre son épouse pour dénonciation calomnieuse, ce qui démontrerait qu’il est innocent. Il estime ainsi que sa version des faits devrait l’emporter sur celle présentée par son épouse. En l’espèce, lors de son audition du 15 mars 2021, le recourant a admis avoir pris son épouse par le bras à plusieurs reprises. Il n’a de plus pas été en mesure d’expliquer les hématomes figurant sur les photographies, pourtant faites par la police sur le corps de la victime (PV audition 2, ll. 102 ss ; P. 4 et 45/8). Or, le fait de tenir fortement une</w:t>
      </w:r>
    </w:p>
    <w:p>
      <w:r>
        <w:t>- 7 - personne par le bras, à plusieurs occasions, au point de lui causer des hématomes, suffit à retenir une atteinte à sa personnalité, au sens de l’art. 28 CC. Sous cet angle, il n’est donc pas déterminant que le recourant conteste avoir porté d’autres coups. Le fait qu’il ait déposé plainte contre son épouse pour dénonciation calomnieuse ne l’est pas davantage. En effet, la procureure n’a en définitive pas retenu cette infraction, ce qui rend la démonstration du recourant vaine. Enfin, il n’est pas réaliste de plaider que ces actes auraient cessé en 2019 puisque les photographies ont été prises en août 2020. Dans ces circonstances, force est de constater que, par son comportement fautif et contraire au droit civil, le recourant a été à l’origine de la procédure pénale, ce d’autant plus que c’est bien B.X.________ qui a appelé la police le 18 août 2020, à 1h03, alors que lui-même avait quitté le domicile. Sur ce point, l’ordonnance du Ministère public échappe ainsi à toute critique.</w:t>
      </w:r>
    </w:p>
    <w:p>
      <w:r>
        <w:rPr>
          <w:b/>
        </w:rPr>
        <w:t>E. 2.2.2</w:t>
      </w:r>
    </w:p>
    <w:p>
      <w:r>
        <w:t>Le recourant reproche au Ministère public d’avoir omis de retenir que les faits antérieurs au 6 avril 2019 étaient prescrits. Il est vrai que, dans l’hypothèse où le recourant aurait été condamné ou renvoyé en jugement, les faits antérieurs au 6 avril 2019 auraient été prescrits sous l’angle de l’art. 126 al. 2 CP. Toutefois, il y a eu lieu de relever que le recourant ne s’est vu mettre que la moitié des frais à sa charge. En outre, les faits retenus fondant une atteinte à la personnalité de son épouse, datent du mois d’août 2020 (cf. supra consid. 2.2.1), ce qui permet de constater que ceux-ci n’étaient en tout cas pas prescrits. Le moyen relatif à la prescription doit dès lors être écarté.</w:t>
      </w:r>
    </w:p>
    <w:p>
      <w:r>
        <w:rPr>
          <w:b/>
        </w:rPr>
        <w:t>E. 2.2.3</w:t>
      </w:r>
    </w:p>
    <w:p>
      <w:r>
        <w:t>Le recourant relève que sa situation, de même que celle de son épouse, est précaire dès lors que tous deux bénéficient du revenu d’insertion. Se fondant sur l’arrêt de la Chambre de céans du 21 octobre 2016/705, il considère qu’il serait disproportionné de faire supporter au couple des frais de procédure représentant trois fois leurs revenus. En l’occurrence, dans son arrêt du 21 octobre 2016 (n° 705), la Chambre des recours pénale a considéré, à titre exceptionnel, qu’au vu</w:t>
      </w:r>
    </w:p>
    <w:p>
      <w:r>
        <w:t>- 8 - « du contexte très particulier » de la cause, il apparaissait justifié de réduire à 200 fr. la part des frais mis à la charge du prévenu. Toutefois, si le juge unique a certes mentionné la situation précaire du couple, il a également tenu compte des incertitudes sur le début de l’altercation et du repentir sincère du prévenu, qui avait admis son geste, ce qui n’est pas le cas en l’espèce. Il s’agissait donc d’une situation spécifique, ce que le juge avait clairement relevé, de sorte que cet arrêt ne saurait faire jurisprudence alors que de nombreux autres arrêts de la même cour ne vont pas dans ce sens. Enfin, il faut relever que les frais n’avaient pas été laissés totalement à la charge de l’Etat, mais seulement réduits. Le moyen relatif à la précarité du couple doit ainsi être rejeté. Par ailleurs, le recourant ne dépose pas une demande de remise de frais au sens de l’art. 425 CPP, laquelle relèverait de l’autorité qui a statué et non de la Chambre de céans.</w:t>
      </w:r>
    </w:p>
    <w:p>
      <w:r>
        <w:rPr>
          <w:b/>
        </w:rPr>
        <w:t>E. 3</w:t>
      </w:r>
    </w:p>
    <w:p>
      <w:r>
        <w:t>En définitive, manifestement mal fondé, le recours doit être rejeté sans échange d’écritures (art. 390 al. 2 CPP) dans la mesure où il est recevable et l’ordonnance entreprise confirmée. Les frais de la procédure de recours, constitués en l’espèce de l’émolument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6 avril 2022 est confirmée. III. Les frais d’arrêt, par 880 fr. (huit cent huitante francs), sont mis à la charge de A.X.________.</w:t>
      </w:r>
    </w:p>
    <w:p>
      <w:r>
        <w:t>- 9 - IV. L’arrêt est exécutoire. La présidente : Le greffier : Du Le présent arrêt, dont la rédaction a été approuvée à huis clos, est notifié, par l'envoi d'une copie complète, à : - Me Eric Muster, avocat (pour A.X.________), - Ministère public central, et communiqué à : - Mme la Procureure de l’arrondissement de Lausanne, - Mme B.X.________,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