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PE20.015153 vom 18. Juni 2021</w:t>
      </w:r>
    </w:p>
    <w:p>
      <w:r>
        <w:t>VD Tribunal cantonal, 2021-06-18, FR</w:t>
      </w:r>
    </w:p>
    <w:p>
      <w:r>
        <w:rPr>
          <w:b/>
        </w:rPr>
        <w:t xml:space="preserve">Quelle: </w:t>
      </w:r>
      <w:r>
        <w:t>https://mcp.opencaselaw.ch/entscheid/vd_gerichte_PE20.015153</w:t>
      </w:r>
    </w:p>
    <w:p>
      <w:r>
        <w:t>FR: VD_GERICHTE PE20.015153 du 18 juin 2021</w:t>
      </w:r>
    </w:p>
    <w:p>
      <w:r>
        <w:t>IT: VD_GERICHTE PE20.015153 del 18 giugno 2021</w:t>
      </w:r>
    </w:p>
    <w:p>
      <w:pPr>
        <w:pStyle w:val="Heading2"/>
      </w:pPr>
      <w:r>
        <w:t>Erwägungen</w:t>
      </w:r>
    </w:p>
    <w:p>
      <w:r>
        <w:rPr>
          <w:b/>
        </w:rPr>
        <w:t>E. 4.1</w:t>
      </w:r>
    </w:p>
    <w:p>
      <w:r>
        <w:t>L’appelant conclut à libération des infractions de lésions corporelles simples qualifiées (cas 8, jgt pp. 8 et 26-27), voies de fait qualifiées (cas 1, jgt pp. 17 et 22 ; cas 2, jgt pp. 18 et 23 ; cas 3, jgt pp. 18 et 23-24 ; cas 6, jgt pp. 19 et 26) et menaces qualifiées (cas 8, jgt pp. 20 et 26-27) commises au préjudice de E.________, en invoquant une constatation incomplète et erronée des faits « s’agissant de la nature des relations » entre eux. Il soutient qu’il n’y avait pas concubinage et donc pas d’infractions qualifiées. Or E.________ n’avait pas déposé de plaintes (réd : en réalité elle les a retirées avant que l’acte d’accusation soit établi). Il se prévaut de l’arrêt TF 6B_1057/2015 du 25 mai 2016. Dans un chapitre de son appel concernant les frais, l’appelant fait valoir que même si celle-ci n’avait pas retiré ses plaintes, il n’aurait pas dû être condamné, les accusations ne reposant que sur les dires de E.________ auxquels il n’y avait</w:t>
      </w:r>
    </w:p>
    <w:p>
      <w:r>
        <w:t>- 16 - pas lieu d’ajouter foi dès lors qu’ils avaient varié et étaient contredits par des éléments du dossier.</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 34 ad art. 10 CPP). La présomption d'innocence, ainsi que son corollaire, le principe in dubio pro reo, concernent tant le fardeau de la preuve que l'appréciation des preuves (ATF 144 IV 345 consid. 2.2.3.1 ; ATF 127 I 38 consid. 2a). En</w:t>
      </w:r>
    </w:p>
    <w:p>
      <w:r>
        <w:t>- 17 -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4.3</w:t>
      </w:r>
    </w:p>
    <w:p>
      <w:r>
        <w:t>Dans l’arrêt TB 6B_1057/2015 du 25 mai 2016, on lit ceci : « En vertu de l'art. 123 ch. 2 al. 6 CP et de l'art. 180 al. 2 let. b CP,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l'art. 123 ch. 2 al. 4 et 5 CP, respectivement de l'art. 180 al. 2 let. a et b CP (cf. Dupuis et al., Petit commentaire, Code pénal, 2012, n. 23 ad art. 123 CP ; Roth/Oth/Berkemeier, in Basler Kommentar StGB, 2013, n. 31 ad art. 123 CP ; Bernard Corboz, Les infractions en droit suisse, vol. I, 2010, n. 33 ad art. 123 CP).</w:t>
      </w:r>
    </w:p>
    <w:p>
      <w:r>
        <w:t>- 18 -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160 ss et les arrêts cités). 1.2. En l'espèce, la cour cantonale a retenu que lors de l'interpellation du recourant, A.________ et lui vivaient ensemble, à tout le moins depuis le mois de juillet 2012, dans l'appartement situé à C.________. Pour la période précédant cette date, ils avaient tous deux indiqué et confirmé se fréquenter depuis 2009, avant de nouer une relation intime dès le début de l'année 2010. Le recourant ne faisait alors plus payer de loyer à A.________ pour le logement qu'il avait mis à sa disposition. Il y dormait avec elle lorsqu'il n'était pas au domicile conjugal. Quand il n'y passait pas la nuit, il venait y prendre le petit- déjeuner. Il faisait également parfois les commissions et lui offrait des vêtements. Il confiait à A.________ les difficultés qu'il rencontrait notamment sur le plan professionnel, dont il ne parlait pas à son épouse. Ainsi, avant d'emménager ensemble en 2012, A.________ et le recourant vivaient déjà une relation stable depuis 2010, dans le cadre de laquelle ils s'accordaient une assistance réciproque, synonyme de communauté de vie assimilable au mariage. La motivation de la cour cantonale ne peut être suivie. En effet, il ressort du dossier que le recourant est marié depuis 2008 avec B.________. Il a certes noué une relation intime avec A.________ dès le début 2010 ; il n'a toutefois pas quitté son épouse, avec laquelle il faisait toujours ménage commun. L'on ne peut inférer du simple fait que le recourant dormait de temps en temps chez A.________ ou qu'il passait y prendre le petit-déjeuner qu'il s'agissait d'une relation de concubinage, assimilable à un mariage. Le recourant a ensuite emménagé avec A.________ en juillet 2012. La cohabitation a pris fin au plus tard en juillet 2013, lorsque le recourant a été placé en</w:t>
      </w:r>
    </w:p>
    <w:p>
      <w:r>
        <w:t>- 19 - détention provisoire. A sa sortie de prison, courant juin 2014, il est retourné vivre avec son épouse. Au vu de la courte durée du ménage commun et de la fin de la relation qui s'en est suivie, la cour cantonale ne pouvait pas qualifier la vie commune du recourant avec A.________ en 2012 et 2013 de relation de concubinage stable. A.________ ayant retiré sa plainte le 27 mai 2013, le recourant doit être libéré des chefs d'accusation de lésions corporelles simples qualifiées et menaces qualifiées. Partant, le recours doit être admis et l'arrêt attaqué annulé sur ce point. » Le Tribunal de police a considéré, s’agissant du ménage commun, que les déclarations des parties sur la durée de leur ménage commun divergeaient, mais qu’il fallait retenir que les intéressés se fréquentaient depuis 2018, qu’ils avaient pris un appartement en commun en 2020, que leur but était d’y vivre ensemble pour une durée indéterminée et qu’il importait peu que ce concubinage n’ait pas duré longtemps en raison de leurs disputes. Sur les faits eux-mêmes, il a ajouté foi aux accusations de E.________, qui les avait confirmées à l’audience alors qu’elle s’était montrée conciliante et avait retiré sa dernière plainte (réd. : pour vol), qui n’avait donc pas de raison de mentir et qui avait par ailleurs reconnu ses propres torts. Il n’a pas été convaincu par les « dénégations systématiques » du prévenu. Avec le premier juge, on doit retenir que la matérialité des faits n’est pas douteuse. L’épouse séparée du prévenu a été entendue et a confirmé la violence de ce dernier (PV aud. 8, p. 3). Les antécédents du prévenu démontrent son mauvais caractère (P. 14 et 15). Mais l’appelant a raison, s’agissant de la question, abondamment instruite en cours d’enquête, de la vie commune. Si on résume : en 2018, le prévenu s’est séparé de sa femme et E.________ vivait avec le père de ses filles ; les parties ont eu une relation d’un soir ; après cela, le prévenu a poursuivi l’ex-plaignante de ses assiduités, d’abord sans succès ; en novembre 2019, ils ont repris une relation, E.________ s’étant</w:t>
      </w:r>
    </w:p>
    <w:p>
      <w:r>
        <w:t>- 20 - séparée de son concubin ; en été 2020, celle-ci a séjourné quelques semaines chez le prévenu à [...] ; elle a ensuite pris un appartement à Montreux, dont ce dernier s’est porté garant. L’idée était donc bien de s’installer ensemble. Ils ont vécu ensemble dans ce logement durant une semaine, avant que l’ex-plaignante fuie et aille se « ressourcer » quelque temps chez le père de ses filles. La relation tumultueuse a repris, mais sans vie commune. En outre, au cours de l’audience d’appel, X.________ a produit une attestation d’établissement dans la commune de Villeneuve, valable depuis le 20 janvier 2016. On peut déduire des éléments qui précèdent que les parties n’ont pas vécu une relation de concubinage stable d'une certaine durée, voire durable, et que les infractions qualifiées de lésions corporelles simples, voies de fait et menaces ne sont pas réalisées. Les infractions simples ne peuvent pas non plus être retenues faute de plainte. X.________ doit par conséquent être libéré de ces chefs d’infractions. Il en va de même pour E.________ pour l’infraction de lésions corporelles simples qualifiées en application de l’art. 392 al. 1 CPP, dès lors que le prévenu n’a pas non plus déposé plainte (cas 1, jgt p. 22).</w:t>
      </w:r>
    </w:p>
    <w:p>
      <w:r>
        <w:rPr>
          <w:b/>
        </w:rPr>
        <w:t>E. 5.1</w:t>
      </w:r>
    </w:p>
    <w:p>
      <w:r>
        <w:t>L’appelant soutient que les vidéos présentes sur son téléphone mobile et qui montrent des excès de vitesse ne sont pas de son fait. Elles lui auraient été envoyées par des tiers. Il relève que rien ne permet d’affirmer qu’elles le représentent et que les véhicules ne sont pas tous les mêmes. Il invoque le principe in dubio pro reo.</w:t>
      </w:r>
    </w:p>
    <w:p>
      <w:r>
        <w:rPr>
          <w:b/>
        </w:rPr>
        <w:t>E. 5.2</w:t>
      </w:r>
    </w:p>
    <w:p>
      <w:r>
        <w:t>Il peut être renvoyé aux principes relatifs à l’appréciation des preuves qui ont été développés ci-dessus (consid. 4.2).</w:t>
      </w:r>
    </w:p>
    <w:p>
      <w:r>
        <w:rPr>
          <w:b/>
        </w:rPr>
        <w:t>E. 5.3</w:t>
      </w:r>
    </w:p>
    <w:p>
      <w:r>
        <w:t>Selon le rapport de police (P. 29), la multitude de photos et vidéos prises au volant sur les routes et retrouvées dans le téléphone du prévenu « ont été prises avec la caméra de son téléphone ». De même, une vidéo a été retrouvée dans le téléphone de E.________, que le prévenu avait faite au moyen de la caméra de son téléphone et envoyée à l’intéressée par WhatsApp. On peut voir ces images sur le CD qui figure en P. 34.</w:t>
      </w:r>
    </w:p>
    <w:p>
      <w:r>
        <w:t>- 21 - Le Tribunal de police a retenu que le dossier permettait de se convaincre que le prévenu était bien l’auteur des films. En effet, on remarquait le bras et la montre de l’accusé, on entendait le même style de musique en arrière-fond et il ressortait des nombreuses vidéos extraites de son téléphone portable que l’intéressé se filmait régulièrement en conduisant. Comme déjà dit plus haut, les explications du prévenu ne sont pas crédibles. Peu importe la voiture qu’il utilisait puisqu’on peut faire un excès de vitesse au volant d’un véhicule prêté. Ces éléments suffisent pour se forger une conviction de culpabilité. L’infraction de violation grave des règles de la circulation routière (deux fois) doit par conséquent être confirmée.</w:t>
      </w:r>
    </w:p>
    <w:p>
      <w:r>
        <w:rPr>
          <w:b/>
        </w:rPr>
        <w:t>E. 6.1</w:t>
      </w:r>
    </w:p>
    <w:p>
      <w:r>
        <w:t>Le maintien de la condamnation pour violation grave des règles de la circulation routière commande de revoir la peine.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w:t>
      </w:r>
    </w:p>
    <w:p>
      <w:r>
        <w:t>- 22 -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w:t>
      </w:r>
    </w:p>
    <w:p>
      <w:r>
        <w:t>- 23 - sanctionner chacune des autres infractions, en tenant là aussi compte de toutes les circonstances y relatives (ATF 144 IV 313 précité consid. 1.1.2).</w:t>
      </w:r>
    </w:p>
    <w:p>
      <w:r>
        <w:rPr>
          <w:b/>
        </w:rPr>
        <w:t>E. 6.3</w:t>
      </w:r>
    </w:p>
    <w:p>
      <w:r>
        <w:t>En l’espèce, l’appelant n’a pas d’antécédent pénal dans ce domaine et il a seulement fait l’objet d’un retrait de permis de conduire pour un refus de priorité qui a conduit à un accident. Il y a deux excès de vitesse, dont un sur route principale hors localité (cas 5) et un autre sur autoroute (cas 7). Le dépassement est à chaque fois de l’ordre de 40 km/h. Le cas 5 est plus grave, car la circulation se fait dans les deux sens et il peut y avoir des obstacles ou véhicules lents, des changements de direction, etc. L’excès est aussi proportionnellement plus important, puisque la vitesse maximale autorisée est moindre (80 km/h contre 120 km/h dans le cas 7). La culpabilité du prévenu, fier de ses actes qu’il filme, est lourde. Celui-ci ayant déjà eu affaire à la police et ayant été sanctionné de peines pécuniaires sans que cela le dissuade de commettre de nouvelles infractions, une peine privative de liberté s’impose pour des motifs de prévention spéciale. Cette peine doit aussi être ferme, vu l’attitude du prévenu qui réitère ses agissements à deux reprises sur une période d’un mois. Elle doit être fixée à 60 jours pour le cas 5 et augmentée de 30 jours pour le cas 7. Vu la libération des infractions de violence, il n’y a pas lieu de reconduire les mesures de substitution. Leur maintien durant la procédure d’appel, sur la base du jugement de première instance, n’appelle pas une compensation sous la forme d’une déduction de la peine, car elles ne constituent pas une restriction suffisante à sa liberté.</w:t>
      </w:r>
    </w:p>
    <w:p>
      <w:r>
        <w:rPr>
          <w:b/>
        </w:rPr>
        <w:t>E. 7.1</w:t>
      </w:r>
    </w:p>
    <w:p>
      <w:r>
        <w:t>En lien avec l’acquittement demandé, l’appelant requiert la non révocation des sursis accordés le 25 septembre 2019 par le Ministère public de l’arrondissement de l’Est vaudois (20 jours-amende à 30 fr.) et le 28 février 2020 par le Ministère public/Parquet de La Chaux-de-Fonds (60 jours-amende à 30 fr.).</w:t>
      </w:r>
    </w:p>
    <w:p>
      <w:r>
        <w:t>- 24 -</w:t>
      </w:r>
    </w:p>
    <w:p>
      <w:r>
        <w:rPr>
          <w:b/>
        </w:rPr>
        <w:t>E. 7.2</w:t>
      </w:r>
    </w:p>
    <w:p>
      <w:r>
        <w:t>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S’il n’y a pas lieu de prévoir que le condamné commettra de nouvelles infractions, le juge renonce à ordonner la révocation (al. 2). Le juge n'a ainsi pas d'autre choix, selon le pronostic auquel il parvient, que de révoquer intégralement le sursis ou de ne pas le révoquer, quitte à en modifier les conditions (TF 6B_802/2016 du 24 août 2017 consid.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consid. 4.5 ; TF 6B_1165/2013 du 1er mai 2014 consid. 2.2).</w:t>
      </w:r>
    </w:p>
    <w:p>
      <w:r>
        <w:rPr>
          <w:b/>
        </w:rPr>
        <w:t>E. 7.3</w:t>
      </w:r>
    </w:p>
    <w:p>
      <w:r>
        <w:t>En l’espèce, l’appelant est libéré des chefs d’accusation à l’encontre de E.________. Il n’a pas d’antécédent pénal dans le domaine de la LCR. On peut espérer que l’exécution de la peine privative de liberté de 90 jours, sous déduction de 43 jours de détention provisoire et de 6 jours en raison des 11 jours de détention provisoire subis dans des conditions de détention illicites, sera suffisamment dissuasive pour qu’il ne commette pas d’autres crimes ou délits. Dans cette mesure, la révocation des sursis accordés le 25 septembre 2019 par le Ministère public de l’arrondissement</w:t>
      </w:r>
    </w:p>
    <w:p>
      <w:r>
        <w:t>- 25 - de l’Est vaudois et le 28 février 2020 par le Ministère public/Parquet de La Chaux-de-Fonds ne se justifie plus.</w:t>
      </w:r>
    </w:p>
    <w:p>
      <w:r>
        <w:rPr>
          <w:b/>
        </w:rPr>
        <w:t>E. 8.1</w:t>
      </w:r>
    </w:p>
    <w:p>
      <w:r>
        <w:t>En lien avec l’acquittement demandé, l’appelant sollicite une indemnité pour la réparation du tort moral subi en raison de sa détention du 30 novembre 2020 au 11 janvier 2021, soit 43 jours à 200 fr., plus 100 fr. par jour pour les 11 jours de détention provisoire dans des conditions de détention illicites.</w:t>
      </w:r>
    </w:p>
    <w:p>
      <w:r>
        <w:rPr>
          <w:b/>
        </w:rPr>
        <w:t>E. 8.2</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146 IV 231 consid. 2.3.2 ; ATF 143 IV 339 consid. 3.1 ; TF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w:t>
      </w:r>
    </w:p>
    <w:p>
      <w:r>
        <w:t>- 26 - durée de détention est de plusieurs mois, convient-il en règle générale de réduire le montant journalier de l'indemnité (ATF 143 IV 339 consid. 3.1 et les références citées ; TF 6B_974/2020 précité consid. 2.1.1).</w:t>
      </w:r>
    </w:p>
    <w:p>
      <w:r>
        <w:rPr>
          <w:b/>
        </w:rPr>
        <w:t>E. 8.3</w:t>
      </w:r>
    </w:p>
    <w:p>
      <w:r>
        <w:t>En l’espèce, la peine privative de liberté de 90 jours rend sans objet la prétention en réparation pour détention injustifiée. Vu la quotité de la peine, le tort causé par la détention dans des conditions de détention illicites peut encore être réparé en nature comme prévu par le jugement.</w:t>
      </w:r>
    </w:p>
    <w:p>
      <w:r>
        <w:rPr>
          <w:b/>
        </w:rPr>
        <w:t>E. 9.1</w:t>
      </w:r>
    </w:p>
    <w:p>
      <w:r>
        <w:t>En lien avec l’acquittement demandé, l’appelant soutient que les frais ne devraient pas être mis à sa charge, puisque les faits reprochés, à l’exception des infractions à la LCR, reposaient exclusivement sur les allégations de E.________.</w:t>
      </w:r>
    </w:p>
    <w:p>
      <w:r>
        <w:rPr>
          <w:b/>
        </w:rPr>
        <w:t>E. 9.2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w:t>
      </w:r>
    </w:p>
    <w:p>
      <w:r>
        <w:t>- 27 -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r>
        <w:rPr>
          <w:b/>
        </w:rPr>
        <w:t>E. 9.3</w:t>
      </w:r>
    </w:p>
    <w:p>
      <w:r>
        <w:t>En l’espèce, si l’appelant est acquitté partiellement, c’est uniquement parce que E.________ a retiré ses plaintes. C’est donc bien son comportement fautif et illicite qui a provoqué l’ouverture de la procédure pénale. La décision du Tribunal de police de faire participer le prévenu aux frais de première instance est par conséquent entièrement fondée.</w:t>
      </w:r>
    </w:p>
    <w:p>
      <w:r>
        <w:rPr>
          <w:b/>
        </w:rPr>
        <w:t>E. 10</w:t>
      </w:r>
    </w:p>
    <w:p>
      <w:r>
        <w:t>En définitive, l’appel de X.________ doit être partiellement admis et le jugement entrepris réformé dans le sens des considérants qui précèdent.</w:t>
      </w:r>
    </w:p>
    <w:p>
      <w:r>
        <w:t>- 28 - Me Céline Desscan, défenseur d’office de l’appelant, a produit une liste des opérations indiquant 15h50 d’activité. Il faut retrancher 1h30 pour l’audience d’appel qui a été surévaluée.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2'580 francs. Il faut ajouter 2 % pour les débours forfaitaires (art. 3bis al. 1 RAJ par renvoi de l’art. 26b TFIP), soit 51 fr. 60, 120 fr. pour la vacation de l'audience d'appel (art. 3bis al. 3 RAJ par renvoi de l’art. 26b TFIP) et 7,7 % de TVA sur le tout, de sorte que l'indemnité est arrêtée à 2'963 fr. 45. Vu l’issue de la cause, les frais de la procédure d’appel, par 2’600 fr. (art. 21 al. 1 et 2 TFIP), ainsi que l'indemnité du défenseur d'office de l'appelant, par 2'963 fr. 45, soit au total 5'563 fr. 45, seront mis par moitié à la charge de l'appelant (art. 428 al. 1 CPP), le solde étant laissé à la charge de l'Etat. L'appelant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