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PE20.015099 vom 19. Juli 2021</w:t>
      </w:r>
    </w:p>
    <w:p>
      <w:r>
        <w:t>VD Tribunal cantonal, 2021-07-19, FR</w:t>
      </w:r>
    </w:p>
    <w:p>
      <w:r>
        <w:rPr>
          <w:b/>
        </w:rPr>
        <w:t xml:space="preserve">Quelle: </w:t>
      </w:r>
      <w:r>
        <w:t>https://mcp.opencaselaw.ch/entscheid/vd_gerichte_PE20.015099</w:t>
      </w:r>
    </w:p>
    <w:p>
      <w:r>
        <w:t>FR: VD_GERICHTE PE20.015099 du 19 juillet 2021</w:t>
      </w:r>
    </w:p>
    <w:p>
      <w:r>
        <w:t>IT: VD_GERICHTE PE20.015099 del 19 luglio 2021</w:t>
      </w:r>
    </w:p>
    <w:p>
      <w:pPr>
        <w:pStyle w:val="Heading2"/>
      </w:pPr>
      <w:r>
        <w:t>Erwägungen</w:t>
      </w:r>
    </w:p>
    <w:p>
      <w:r>
        <w:rPr>
          <w:b/>
        </w:rPr>
        <w:t>E. 17</w:t>
      </w:r>
    </w:p>
    <w:p>
      <w:r>
        <w:t>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w:t>
      </w:r>
    </w:p>
    <w:p>
      <w:r>
        <w:t>- 7 - mesures d’instruction pertinentes susceptibles d’établir l’existence de soupçons suffisants justifiant une mise en accusation (CREP 10 mai 2016/305 et les références citées). 2.2 2.2.1 Aux termes de l'art. 117 CP (Code pénal du 21 décembre 1937 ; RS 311.0),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 TF 6B_170/2017 du 19 octobre 2017 consid. 2.2).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 publiques reconnues ou encore se fonder sur les principes généraux ou une expertise (ATF 135 IV 56 consid. 2.1). L'auteur viole les règles de la prudence s'il omet, alors qu'il occupe une position de garant (art. 11 al. 2 et 3 CP; sur cette notion, cf. ATF 141 IV 249 consid. 1.1)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(ATF 134 IV 255 consid. 4.2.3). Il faut ensuite qu'il existe un rapport de causalité entre la violation fautive du devoir de prudence et le décès de la victime. En cas de</w:t>
      </w:r>
    </w:p>
    <w:p>
      <w:r>
        <w:t>- 8 -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(TF 6B_315/2016 du 1er novembre 2016 consid. 5).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(ATF 134 IV 255 consid. 4.4.2 ; ATF 133 IV 158 consid. 6.1 et les références citées). 2.2.2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w:t>
      </w:r>
    </w:p>
    <w:p>
      <w:r>
        <w:t>- 9 -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134 IV 175 consid. 3.2 ; ATF 130 IV 7 consid. 3.3 et les références citées ; TF 6B_170/2017 précité consid. 2.3).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6B_170/2017 précité consid. 2.3 ; TF 6B_999/2015 du 28 septembre 2016 consid. 5.1). Les règles de l'art médical constituent des principes établis par la science médicale, généralement reconnus et admis, communément suivis et appliqués par les praticiens. Savoir si le médecin a violé son devoir de diligence est une question de droit ; dire s'il existe une règle professionnelle communément admise, quel était l'état du patient et comment l'acte médical s'est déroulé relève du fait (ATF 133 III 121 consid. 3.1; TF 6B_170/2017 précité consid. 2.3 ;TF 6B_1031/2016 du 23 mars 2017 consid. 6.4). 2.3 En l’espèce, le procureur a entrepris plusieurs mesures d’instruction consécutives au dépôt de plainte de C.________. Des rapports médicaux étayés ont ainsi été versés au dossier. Il en résulte que de nombreux actes médicaux ont été accomplis, sur place d’abord, puis durant le trajet en ambulance. Il apparaît en outre que le personnel médical – composé d’ambulanciers et du personnel du SMUR – était adéquat, en nombre et en compétence, et semble avoir accompli tout ce qui était en son pouvoir sur le moment, étant relevé que l’intervention s’est inscrite dans une atmosphère où la panique, l’inquiétude et l’agitation des proches du patient étaient tangibles. Le laps de temps qui</w:t>
      </w:r>
    </w:p>
    <w:p>
      <w:r>
        <w:t>- 10 - s’est écoulé à domicile semble quant à lui intimement lié aux mesures visant à réanimer le patient avant de l’installer dans l’ambulance, respectivement aux premières administrations médicamenteuses dans ledit véhicule. Pour ce qui est de la destination, à savoir le CHUV, le choix apparaît logique, puisque c’est précisément cet hôpital qui offre la meilleure prise en charge pour le type de pathologie concerné. Il convient encore de relever que C.________ s’est entretenue avec les professionnels qui sont intervenus pour tenter de sauver son mari, le 2 mars 2020. A cette occasion, toutes les précisions et informations lui ont été présentées quant au déroulement de l’intervention, que cela relève des choix médicaux entrepris et des mesures consécutives. C.________, subitement veuve, a assisté aux derniers instants de son époux, impuissante. L’impact psychologique d’un tel évènement, soudain, inattendu et violent relève indéniablement du choc. Les conséquences vis- à-vis des personnes directement affectées ne sauraient être minimisées ou relativisées. Il n’en reste pas moins que la perception de la susnommée semble à ce jour entachée de subjectivité et illustre un sentiment – légitime – d’injustice ou d’incompréhension. Il est naturel dans ces circonstances que l’on cherche un responsable, voire un coupable. A l’inverse, la position du Ministère public repose sur des éléments objectifs, factuels et complets, relatés plus haut. Concernant la prise en charge de P.________ et à teneur des éléments versés au dossier, il n’existe aucun soupçon suffisant justifiant des compléments d’instruction ou une mise en accusation. En cas de renvoi en jugement, la probabilité d’une condamnation apparaît bien moins vraisemblable qu’un acquittement, étant encore relevé que la mort, en tant qu’élément constitutif, n’est pas à elle seule systématiquement susceptible de fonder des indices d’un homicide par négligence, contrairement à ce qu’avance la recourante. En tout état de cause, aucun élément au dossier ne permet de supposer qu’un membre du corps médical intervenu le soir du 17 au 18 mars 2019 n’aurait pas fait preuve des précautions commandées par les circonstances et se serait fait l’auteur d’une imprévoyance coupable. On ne voit au demeurant pas quelle mesure d’instruction supplémentaire –</w:t>
      </w:r>
    </w:p>
    <w:p>
      <w:r>
        <w:t>- 11 - pas même celle sollicitée par la recourante – serait à même de faire la lumière sur les éléments factuels survenus le soir en question. C’est donc à justice titre que le Ministère public central a ordonné le classement de la procédure ouverte ensuite de la plainte de C.________. 3. Il résulte de ce qui précède que le recours doit être rejeté et l’ordonnance du 22 juin 2021 confirmée. Les frais de la procédure de recours, constitués en l'espèce du seul émolument d'arrêt, par 990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22 juin 2021 est confirmée. III. Les frais d’arrêt, par 990 fr. (neuf cent nonante francs), sont mis à la charge de la recourante C.________. IV. L’arrêt est exécutoire. Le président : La greffière : Du Le présent arrêt, dont la rédaction a été approuvée à huis clos, est notifié, par l'envoi d'une copie complète, à : - Me Jean-Emmanuel Rossel (pour C.________),</w:t>
      </w:r>
    </w:p>
    <w:p>
      <w:r>
        <w:t>- 12 - - Ministère public central, et communiqué à : - M. le Procureur du Ministère public central, division affaires spéciales,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