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PE20.014751 vom 16. Mai 2022</w:t>
      </w:r>
    </w:p>
    <w:p>
      <w:r>
        <w:t>VD Tribunal cantonal, 2022-05-16, FR</w:t>
      </w:r>
    </w:p>
    <w:p>
      <w:r>
        <w:rPr>
          <w:b/>
        </w:rPr>
        <w:t xml:space="preserve">Quelle: </w:t>
      </w:r>
      <w:r>
        <w:t>https://mcp.opencaselaw.ch/entscheid/vd_gerichte_PE20.014751</w:t>
      </w:r>
    </w:p>
    <w:p>
      <w:r>
        <w:t>FR: VD_GERICHTE PE20.014751 du 16 mai 2022</w:t>
      </w:r>
    </w:p>
    <w:p>
      <w:r>
        <w:t>IT: VD_GERICHTE PE20.014751 del 16 maggio 2022</w:t>
      </w:r>
    </w:p>
    <w:p>
      <w:pPr>
        <w:pStyle w:val="Heading2"/>
      </w:pPr>
      <w:r>
        <w:t>Erwägungen</w:t>
      </w:r>
    </w:p>
    <w:p>
      <w:r>
        <w:rPr>
          <w:b/>
        </w:rPr>
        <w:t>E. 1.1</w:t>
      </w:r>
    </w:p>
    <w:p>
      <w:r>
        <w:t>Les parties peuvent attaquer une ordonnance de classement rendue par le ministère public en application des art. 319ss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1.2</w:t>
      </w:r>
    </w:p>
    <w:p>
      <w:r>
        <w:t>En l’espèce, interjeté en temps utile devant l’autorité compétente par le prévenu qui a qualité pour recourir (art. 382 al. 1 CPP), et satisfaisant aux conditions de forme prescrites (art. 385 al. 1 CPP), le recours de E.________ est recevable.</w:t>
      </w:r>
    </w:p>
    <w:p>
      <w:r>
        <w:rPr>
          <w:b/>
        </w:rPr>
        <w:t>E. 2</w:t>
      </w:r>
    </w:p>
    <w:p>
      <w:r>
        <w:t>Le recourant fait valoir en bref qu’en raison de sa pathologie préexistante et de son vécu traumatique liés aux évènements qui se sont déroulés dans son pays d’origine, il se justifie de retenir que l’atteinte à la personnalité qu’il a subie a été particulièrement grave et traumatisante. Il relève en particulier que son arrestation a été indubitablement le facteur déclencheur d’une crise conséquente qui a abouti à son hospitalisation le 15 décembre 2020 ; la perquisition a eu lieu au vu et au su de tout son voisinage. En raison des tests capillaires, il a dû vivre avec trois « trous » capillaires sur le crâne ce qui a entraîné des questionnements récurrents de son entourage. Il a en outre subi une violation de sa sphère intime par l’analyse de son téléphone portable qui contenait des vidéos et des images intimes.</w:t>
      </w:r>
    </w:p>
    <w:p>
      <w:r>
        <w:rPr>
          <w:b/>
        </w:rPr>
        <w:t>E. 2.1</w:t>
      </w:r>
    </w:p>
    <w:p>
      <w:r>
        <w:t>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Pour justifier un droit à l’indemnité visée par l’art. 429 al. 1 let. c CPP, l’intensité de l’atteinte à la personnalité doit être analogue à celle requise dans le contexte des art. 28a al. 3 CC (Code civil suisse du 10 décembre 1907 ; RS 210) et 49 CO (Code des obligations (Code des obligations du 30 mars 1911 ; RS 220 ; ATF 143 IV 339 consid. 3.1). L’indemnité pour tort moral sera régulièrement allouée si le prévenu s’est trouvé en détention provisoire ou en détention pour des motifs de sûreté.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w:t>
      </w:r>
    </w:p>
    <w:p>
      <w:r>
        <w:t>- 5 -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TF 6B_571/2021 du 24 novembre 2021 consid. 2.1 ; TF 6B_1220/2020 du 1er juillet 2021 consid. 3.1). La gravité objective de l’atteinte doit être ressentie par le prévenu comme une souffrance morale. Il incombe à ce dernier de faire état des circonstances qui font qu’il a ressenti l’atteinte comme étant subjectivement grave. La fixation du tort moral procède d’une appréciation des circonstances et l’autorité compétente bénéficie d’un large pouvoir d’appréciation en la matière (TF 6B_574/2021 précité). Selon la jurisprudence, l’ampleur de la réparation morale dépend avant tout de la gravité des souffrances physique ou psychiques consécutives à l’atteinte subie par l’intéressé et de la possibilité d’adoucir sensiblement, par le versement d’une somme d’argent, la douleur morale qui en résulte (ATF 143 IV 339 consid. 3.1).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 ATF 130 III 699 consid. 5.1 ; cf. également ATF 141 III 97 consid. 11.2). Le juge en déterminera donc le montant en fonction de la gravité de l’atteinte subie et il évitera que le somme accordée n’apparaisse dérisoire à la victime (ATF 130 III 699 consid. 5.1, SJ 2005 I 152, JdT 2006 I 193 ; ATF 129 IV 22 consid. 7.2, JdT 2006 IV 182 ; TF 6B_242/2019 du 18 mars 2019 consid. 2.1) S’agissant du montant de l’indemnité, toute comparaison avec d’autres affaires doit intervenir avec prudence, dès lors que le tort moral</w:t>
      </w:r>
    </w:p>
    <w:p>
      <w:r>
        <w:t>- 6 -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 TF 6B_118/2016 du 20 mars 2017 consid. 6.1).</w:t>
      </w:r>
    </w:p>
    <w:p>
      <w:r>
        <w:rPr>
          <w:b/>
        </w:rPr>
        <w:t>E. 2.2</w:t>
      </w:r>
    </w:p>
    <w:p>
      <w:r>
        <w:t>En l’espèce, les mesures d’instruction ont duré plusieurs mois. Ainsi, le 7 septembre 2020, la surveillance rétroactive du téléphone du recourant pour la période du 4 mars 2020 au 2 septembre 2020 a été autorisée par le Tribunal des mesures de contrainte, ce dont le prévenu a été informé le 28 janvier 2021. Il ressort en outre du dossier que E.________ a pris connaissance des accusations portées contre lui aux environs de septembre – octobre 2020. Son avocate a par ailleurs formellement contesté les faits le 5 novembre 2020 et produit des certificats médicaux. La perquisition de son domicile a été exécutée le 15 décembre 2020 dès 8h35 ; un chien a participé à la fouille de sa chambre. Le 21 décembre 2020, le recourant a été entendu par la police en qualité de prévenu ; il a contesté les faits. Le 2 mars 2021, un examen capillaire a été ordonné et a été exécuté le 14 avril 2021. Le rapport du Centre universitaire romand de médecine légale a été déposé le 9 juin 2021 et l’ordonnance entreprise rendue le 13 décembre 2021. Le fait que le prévenu s’est retrouvé accusé à tort de viol et de trafic de drogue, alors qu’il a déposé plainte à la suite d’une agression dont il ne comprenait, et pour cause, pas les motifs, soit alors qu’il cherchait la protection de la part des autorités, est de nature à augmenter l’atteinte à la personnalité engendrée par l’enquête. Par ailleurs, les faits qui lui étaient reprochés sont particulièrement graves et dégradants. En outre, s’il ne pouvait prouver son innocence face à une accusatrice convaincue de sa culpabilité au point d’organiser son passage à tabac et de passer à l’acte, c’est une peine conséquente de détention qui pouvait être prononcée à l’encontre du recourant, doublée au demeurant d’une mesure d’expulsion.</w:t>
      </w:r>
    </w:p>
    <w:p>
      <w:r>
        <w:t>- 7 - Il est d’emblée apparu lors du dépôt de sa plainte pénale le 25 mai 2020 que le prévenu était atteint de schizophrénie et qu’il prenait des neuroleptiques. Par ailleurs, le 5 novembre 2020, il a produit un certificat médical du 15 octobre 2019, attestant qu’en raison de ses médicaments liés à ses problèmes psychiques, il souffrait d’impuissance. Ainsi, le prévenu a dû, pour se disculper, parler non seulement de sa maladie psychique, mais également de son homosexualité et de ses problèmes d’érection. Il a établi ceux-ci par pièces. La police a consulté son téléphone, ses photos et vidéos privées, voire intimes. L’enquête a conduit à une importante ingérence dans sa sphère intime, lui causant ainsi un préjudice. En outre, conformément à la jurisprudence, il y a lieu également de considérer que la perquisition à son domicile, qui l’a réveillé, lui a causé un tort moral, d’autant que la présence d’un chien, afin d’établir une éventuelle activité liée au trafic de stupéfiants, a pu rendre celle-ci plus impressionnante. Au vu de l’attestation du 16 mars 2021 du la Fondation [...] (P.</w:t>
      </w:r>
    </w:p>
    <w:p>
      <w:r>
        <w:rPr>
          <w:b/>
        </w:rPr>
        <w:t>E. 3</w:t>
      </w:r>
    </w:p>
    <w:p>
      <w:r>
        <w:t>Au vu de ce qui précède, le recours doit être partiellement admis, et l’ordonnance de classement du 13 décembre 2021 doit être réformée au chiffre IV de son dispositif en ce sens qu’une indemnité au sens de l’art. 429 CPP d’un montant de 4'789 fr. 60 (3'000 fr. [tort moral] + 1'789 fr. 60 [frais de défense]) est octroyée à E.________. Pour le reste, la désignation d’un défenseur d’office déploie ses effets durant toute la procédure pénale. Sauf les cas de révocation, le mandat de défenseur d’office ne prend fin qu’à l’épuisement des instances cantonales (CREP 5 novembre 2021/1007 consid. 4 ; CREP 5 mars 2020/167 consid. 3). Partant, la conclusion tendant à la désignation pour la procédure de recours, en qualité de défenseur d’office, de Me Irina Brodard-Lopez, qui a été désignée le 29 octobre 2021 par le Procureur, est sans objet. Les frais de la procédure de recours, constitués en l’espèce de l’émolument d’arrêt (art. 422 al. 1 CPP), par 990 fr. (art. 20 al. 1 TFIP [tarif</w:t>
      </w:r>
    </w:p>
    <w:p>
      <w:r>
        <w:t>- 10 - des frais de procédure et indemnités en matière pénale du 28 septembre 2010 ; BLV 312.03.1]), ainsi que les frais imputables à la défense d’office (art. 422 al. 1 et 2 let. a CPP), fixés à 720 fr. sur la base d’une activité d’avocat nécessaire estimée à quatre heures au tarif horaire de 180 fr., auxquels il convient d’ajouter des débours forfaitaires à concurrence de 2 % (art. 2 al. 1 let. a et 3bis RAJ [règlement sur l’assistance judiciaire en matière civile du 7 décembre 2010 ; BLV 211.02.3], applicable par renvoi de l’art. 26b TFIP, par 14 fr. 40, plus la TVA par 56 fr. 55, soit à 791 fr. au total en chiffres arrondis, seront laissés à la charge de l’Etat, le recourant obtenant gain de cause sur le principe, même s’il n’obtient pas l’adjudication de l’entier de ses conclusions (art. 428 al. 1 CPP). Par ces motifs, la Chambre des recours pénale prononce : I. Le recours est partiellement admis. II. L’ordonnance du 13 décembre 2021 est réformée au chiffre IV de son dispositif en ce sens qu’une indemnité au sens de l’art. 429 CPP de 4'789 fr. 60 (quatre mille sept cent huitante-neuf francs et soixante centimes) est allouée à E.________, valeur échue, à la charge de l’Etat. Elle est maintenue pour le surplus. III. La requête de désignation d’un défenseur d’office est sans objet. IV. L’indemnité allouée au défenseur d’office de E.________ est fixée à 791 fr. (sept cent nonante-et-un francs). V. Les frais d’arrêt, par 990 fr. (neuf cent nonante francs), ainsi que l’indemnité due au défenseur d’office de E.________, par 791 fr. (sept cent nonante-et-un francs), sont laissés à la charge de l’Etat. VI. L’arrêt est exécutoire. Le président : La greffière :</w:t>
      </w:r>
    </w:p>
    <w:p>
      <w:r>
        <w:t>- 11 - Du Le présent arrêt, dont la rédaction a été approuvée à huis clos, est notifié, par l'envoi d'une copie complète, à : - Me Irina Brodard Lopez, avocate (pour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