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PE20.014592 vom 30. Dezember 2021</w:t>
      </w:r>
    </w:p>
    <w:p>
      <w:r>
        <w:t>VD Tribunal cantonal, 2021-12-30, FR</w:t>
      </w:r>
    </w:p>
    <w:p>
      <w:r>
        <w:rPr>
          <w:b/>
        </w:rPr>
        <w:t xml:space="preserve">Quelle: </w:t>
      </w:r>
      <w:r>
        <w:t>https://mcp.opencaselaw.ch/entscheid/vd_gerichte_PE20.014592</w:t>
      </w:r>
    </w:p>
    <w:p>
      <w:r>
        <w:t>FR: VD_GERICHTE PE20.014592 du 30 décembre 2021</w:t>
      </w:r>
    </w:p>
    <w:p>
      <w:r>
        <w:t>IT: VD_GERICHTE PE20.014592 del 30 dicembre 2021</w:t>
      </w:r>
    </w:p>
    <w:p>
      <w:pPr>
        <w:pStyle w:val="Heading2"/>
      </w:pPr>
      <w:r>
        <w:t>Erwägungen</w:t>
      </w:r>
    </w:p>
    <w:p>
      <w:r>
        <w:rPr>
          <w:b/>
        </w:rPr>
        <w:t>E. 1.1</w:t>
      </w:r>
    </w:p>
    <w:p>
      <w:r>
        <w:t>Les parties peuvent attaquer une ordonnance de classement rendue par le Ministère public en application des art. 319 ss CPP. Ce recours s’exerce auprès de l’autorité de recours (cf. art. 20 al. 1</w:t>
      </w:r>
    </w:p>
    <w:p>
      <w:r>
        <w:t>- 4 -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interjeté dans le délai légal auprès de l’autorité compétente par la partie plaignante, qui a qualité pour recourir (art. 382 al. 1 CPP), le recours est recevable.</w:t>
      </w:r>
    </w:p>
    <w:p>
      <w:r>
        <w:rPr>
          <w:b/>
        </w:rPr>
        <w:t>E. 2</w:t>
      </w:r>
    </w:p>
    <w:p>
      <w:r>
        <w:t>La recourante soutient en substance que le Ministère public n’a pas tenu compte de l’avis rendu par l’Office du médecin cantonal le 12 octobre 2020 (P. 10). Selon elle, même si elle a suivi une formation, la prévenue n’aurait pas les qualifications professionnelles requises par la loi pour procéder à l’injection de produits thérapeutiques et a donc agi fautivement. Elle lui reproche également une violation des règles de l’art.</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w:t>
      </w:r>
    </w:p>
    <w:p>
      <w:r>
        <w:t>- 5 - droit de la procédure pénale,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2.1.2</w:t>
      </w:r>
    </w:p>
    <w:p>
      <w:r>
        <w:t>Celui qui, par négligence, aura fait subir à une personne une atteinte à l'intégrité corporelle ou à la santé sera, sur plainte, puni d'une peine privative de liberté de trois ans au plus ou d'une peine pécuniaire (art. 125 al. 1 CP [Code pénal du 21 décembre 1937; RS 311.0]). Si la lésion est grave, le délinquant sera poursuivi d'office (art. 125 al. 2 CP).</w:t>
      </w:r>
    </w:p>
    <w:p>
      <w:r>
        <w:t>- 6 -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2.1.3</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qui dépasse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 TF 6B_400/2020 précité consid. 3.5.1). En second lieu, la violation du devoir de prudence doit être fautive, c'est-à-dire qu'il faut pouvoir reprocher à l'auteur une inattention ou un manque d'effort blâmable (ATF 145 IV 154 consid. 2.1 ; ATF 135 IV 56 consid. 2.1 ; ATF 134 IV 255 consid. 4.2.3 ; TF 6B_400/2020 précité consid. 3.5.1). Une condamnation pour lésions corporelles par négligence suppose ensuite un lien de causalité naturelle et adéquate entre les lésions subies et la négligence imputée à l'auteur (ATF 138 IV 57 consid.4.1.3 ; ATF 133 IV 158 consid. 6.1 ; ATF 131 IV 145 consid. 5 ; TF 6B_400/2020 précité consid. 3.5.1).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w:t>
      </w:r>
    </w:p>
    <w:p>
      <w:r>
        <w:t>- 7 - prudence violée. Pour l'analyse des conséquences de l'acte supposé, il faut appliquer les concepts généraux de la causalité naturelle et de la causalité adéquate (ATF 134 IV 255 consid. 4.4.1 ; ATF 117 IV 130 consid. 2a ; TF 6B_400/2020 précité consid. 3.5.1).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 consid. 2.1 ; ATF 130 IV 7 consid. 3.2 ; cf. encore récemment : TF 6B_364/2020 du 26 juin 2020 consid. 6.1 ; TF 6B_400/2020 précité consid. 3.5.1). La causalité adéquate est ainsi exclue lorsque l'acte attendu n'aurait vraisemblablement pas empêché la survenance du résultat ou lorsqu'il serait simplement possible qu'il l'eût empêché (TF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 ATF 134 IV 255 consid. 4.4.2 ; ATF 133 IV 158 consid. 6.1 et les références citées ; TF 6B_400/2020 précité consid. 3.5.1).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w:t>
      </w:r>
    </w:p>
    <w:p>
      <w:r>
        <w:t>- 8 -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JdT 2004 I 497 ; TF 6B_1287/2018 du 11 mars 2019 consid. 1.1 ; ATF 133 III 121 consid. 3.1 ; cf. de même, également en matière civile, TF 4A_267/2014 du 8 octobre 2014 consid. 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du 11 mars 2019 consid. 1.1; cf. au surplus CREP 5 décembre 2016/822).</w:t>
      </w:r>
    </w:p>
    <w:p>
      <w:r>
        <w:rPr>
          <w:b/>
        </w:rPr>
        <w:t>E. 2.2</w:t>
      </w:r>
    </w:p>
    <w:p>
      <w:r>
        <w:t>En l’espèce, le Ministère public n’a effectivement pas tenu compte du courriel émanant du juriste de l’Office du médecin cantonal. Or, il ressort notamment de cet écrit – dont on ne voit à ce stade pas en quoi le contenu pourrait être remis en cause, dans la mesure où il émane d’une autorité officielle et qualifiée dans le domaine concerné – que les produits injectables sont soumis à une réglementation stricte (notamment la loi fédérale sur les produits thérapeutiques [RS 812.21] et l’ordonnance sur les dispositifs médicaux [RS 812.213]), que l’utilisation d’acide hyaluronique sans aiguille (Hyaluropen) peut être assimilée à une injection</w:t>
      </w:r>
    </w:p>
    <w:p>
      <w:r>
        <w:t>- 9 - même sans aiguille et que l’utilisation d’acide hyaluronique avec ou sans Hyaluropen est réservée aux médecins ou aux infirmiers dument formés placés sous la responsabilité directe d’un médecin, une esthéticienne n’étant en principe pas habilitée à utiliser seule un tel dispositif. Il s’ensuit que le Ministère public ne pouvait pas, sans autre instruction, considérer que les conditions d’un classement étaient réunies. On ignore en effet si la formation suivie par H.________ était adéquate, ou encore si elle a agi sous la responsabilité directe d’un médecin, ce qui ne semble pas être le cas. Une négligence fautive ne peut donc pas être exclue à ce stade et il appartiendra au Ministère public de procéder aux mesures d’instruction complémentaires qui s’imposent, au besoin en interpellant lui-même le Médecin cantonal, et d’examiner si la prévenue a violé une règle de prudence en ne respectant pas la réglementation applicable au traitement en cause.</w:t>
      </w:r>
    </w:p>
    <w:p>
      <w:r>
        <w:rPr>
          <w:b/>
        </w:rPr>
        <w:t>E. 3</w:t>
      </w:r>
    </w:p>
    <w:p>
      <w:r>
        <w:t>Au vu de ce qui précède, le recours doit être admis, l’ordonnance contestée annulée et le dossier de la cause renvoyé au Ministère public pour qu’il procède dans le sens des considérants.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une indemnité pour les dépenses occasionnées par la procédure de recours (art. 433 al. 1 let. a et 436 al. 1 CPP). La note d’honoraires produite ne prête pas le flanc à la critique. L’indemnité sera ainsi fixée à 930 fr., correspondant à 3,1 heure d’activité d’avocat au tarif horaire de 300 fr., montant auquel il convient d’ajouter des débours forfaitaires à concurrence de 2% des honoraires admis (art. 19 al. 2 TDC [Tarif des dépens en matière civile du</w:t>
      </w:r>
    </w:p>
    <w:p>
      <w:r>
        <w:t>- 10 - 23 novembre 2010 ; BLV 270.11.6], applicable par renvoi de l’art. 26a al. 6 TFIP), par 18 fr. 60, plus la TVA au taux de 7,7 %, par 73 fr. 05, soit à 1’022 fr. au total en chiffres arrondis. Cette indemnité sera laissée à la charge de l’Etat. Par ces motifs, la Chambre des recours pénale prononce : I. Le recours est admis. II. L’ordonnance du 5 octobre 2021 est annulée. III. Le dossier de la cause est renvoyé au Ministère public de l’arrondissement de Lausanne pour qu’il procède dans le sens des considérants. IV. Les frais d’arrêt, par 990 fr. (neuf cent nonante francs), sont laissés à la charge de l’Etat. V. Une indemnité de 1'022 fr. (mille vingt-deux francs) est allouée à B.________ pour la procédure de recours, à la charge de l’Etat. VI. L’arrêt est exécutoire. Le président : Le greffier :</w:t>
      </w:r>
    </w:p>
    <w:p>
      <w:r>
        <w:t>- 11 - Du Le présent arrêt, dont la rédaction a été approuvée à huis clos, est notifié, par l'envoi d'une copie complète, à : - Mme H.________, - Me Albert Habib,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