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PE20.014492 vom 7. September 2020</w:t>
      </w:r>
    </w:p>
    <w:p>
      <w:r>
        <w:t>VD Tribunal cantonal, 2020-09-07, FR</w:t>
      </w:r>
    </w:p>
    <w:p>
      <w:r>
        <w:rPr>
          <w:b/>
        </w:rPr>
        <w:t xml:space="preserve">Quelle: </w:t>
      </w:r>
      <w:r>
        <w:t>https://mcp.opencaselaw.ch/entscheid/vd_gerichte_PE20.014492</w:t>
      </w:r>
    </w:p>
    <w:p>
      <w:r>
        <w:t>FR: VD_GERICHTE PE20.014492 du 7 septembre 2020</w:t>
      </w:r>
    </w:p>
    <w:p>
      <w:r>
        <w:t>IT: VD_GERICHTE PE20.014492 del 7 settembre 2020</w:t>
      </w:r>
    </w:p>
    <w:p>
      <w:pPr>
        <w:pStyle w:val="Heading2"/>
      </w:pPr>
      <w:r>
        <w:t>Erwägungen</w:t>
      </w:r>
    </w:p>
    <w:p>
      <w:r>
        <w:rPr>
          <w:b/>
        </w:rPr>
        <w:t>E. 1.1</w:t>
      </w:r>
    </w:p>
    <w:p>
      <w:r>
        <w:t>Aux termes de l’art. 393 al. 1 let. a CPP, le recours est recevable contre les décisions et actes de procédure du Ministère public.</w:t>
      </w:r>
    </w:p>
    <w:p>
      <w:r>
        <w:t>- 4 -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Lembo/Nerushay, in : Jeanneret et al. [éd.], Commentaire romand, Code de procédure pénale suisse, 2e éd., Bâle 2019, n. 4 ad art. 267 CPP ; CREP 22 mai 2020/396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en déclarant contester le séquestre et en demandant la restitution du véhicule pour qu’il soit vendu, l’association recourante conclut implicitement à la réforme de l’ordonnance attaquée. Pour le surplus, le recours a été interjeté dans le délai légal et dans les formes prescrites (art. 385 al. 1 CPP), par la propriétaire du véhicule séquestré qui a un intérêt juridique à l’annulation ou à la modification de l’ordonnance entreprise (art. 382 al. 1 CPP), de sorte qu’il est recevable, dès lors qu’il n’est pas contesté que l’association recourante soit propriétaire dudit véhicule.</w:t>
      </w:r>
    </w:p>
    <w:p>
      <w:r>
        <w:rPr>
          <w:b/>
        </w:rPr>
        <w:t>E. 2.1</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t>- 5 -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ou, en matière d’infractions routières, art. 90a LCR [cf. TF 1B_252/2014 du 3 novembre 2014 consid. 2.4]), de leur origine ou de leur utilisation criminelle (art. 70 et 72 CP) pour autant que l'on puisse admettre, prima facie, qu'ils pourront être confisqués en application du droit fédéral (Julen Berthod, in : Jeanneret et al. [éd.], op. cit., n. 7 ad art. 263 CPP).</w:t>
      </w:r>
    </w:p>
    <w:p>
      <w:r>
        <w:rPr>
          <w:b/>
        </w:rPr>
        <w:t>E. 2.2.1</w:t>
      </w:r>
    </w:p>
    <w:p>
      <w:r>
        <w:t>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JdT 2012 IV 205).</w:t>
      </w:r>
    </w:p>
    <w:p>
      <w:r>
        <w:rPr>
          <w:b/>
        </w:rPr>
        <w:t>E. 2.2.2</w:t>
      </w:r>
    </w:p>
    <w:p>
      <w:r>
        <w:t>En vertu de l’art. 90a al. 1 LCR, le tribunal peut ordonner la confiscation d’un véhicule automobile lorsque les règles de la circulation ont été violées gravement et sans scrupules (let. a) et que cette mesure</w:t>
      </w:r>
    </w:p>
    <w:p>
      <w:r>
        <w:t>- 6 -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 ATF 139 IV 250 consid. 2.3.3, JdT 2014 IV 89 ; TF 1B_275/2013 du 28 octobre 2013 consid. 2.3.3 ;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 ATF 139 IV 250 précité ;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et les références citées ; CREP 18 septembre 2018/718 précité ; CREP 11 mai 2018/246 consid. 2.2).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 Dupuis et al. [éd.], Petit commentaire du Code pénal, 2e éd., Bâle 2017, n.</w:t>
      </w:r>
    </w:p>
    <w:p>
      <w:r>
        <w:rPr>
          <w:b/>
        </w:rPr>
        <w:t>E. 2.3</w:t>
      </w:r>
    </w:p>
    <w:p>
      <w:r>
        <w:t>En l’espèce, il est reproché au prévenu d’avoir conduit un véhicule au sens légal, soit un motocycle, alors qu’il se trouvait sous l’influence de l’alcool et qu’il faisait l’objet d’une mesure de retrait de son permis de conduire, et quand bien même il avait déjà été condamné cinq fois en l’espace de sept ans pour des faits similaires. Entendu par la gendarmerie, il a admis les faits qui lui étaient reprochés, précisant conduire occasionnellement malgré le retrait de son permis. Ainsi, force est de constater que le prévenu met en danger – à tout le moins abstraitement – la sécurité publique en continuant de disposer de ce véhicule, qu’il persiste à conduire sous l’influence de l’alcool et malgré le retrait de son permis. On doit dès lors sans autre considérer que le séquestre est justifié dans son principe, tant sous l’angle de l’art. 69 CP que sous l’angle de l’art. 90a LCR. Il suffit de constater que les conditions d’un séquestre de type conservatoire selon l’art. 263 al. 1 let. d CPP, rapproché des art. 69 CP et 90a LCR, sont réunies. Partant, il est inutile d’examiner si les conditions d’application de l’art. 263 al. 1 let. a CPP, également mentionné par l’ordonnance, le sont aussi.</w:t>
      </w:r>
    </w:p>
    <w:p>
      <w:r>
        <w:t>- 8 - 3. 3.1 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2e éd., Bâle 2014, n. 23 ad art. 263 CPP ; CREP 11 mai 2018/246 précité consid. 5.2.1 ; CREP 6 octobre 2014/729).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(ATF 140 IV 133 précité consid. 3.5 ; Message du Conseil fédéral concernant Via Sicura du 20 octobre 2010, FF 2010 pp. 7703 ss, spéc. p. 7741 ; CREP 11 mai 2018/246 précité). L’exigence de sécurité demeure ainsi prioritaire par rapport aux prétentions civiles des tiers propriétaires. Il incombera ensuite au juge d’examiner les éventuelles conditions de confiscation ou de restitution (ATF 140 IV 133 précité ; FF 2010 p. 7703 précité, spéc. p. 7741). 3.2 En l’espèce, le prévenu est administrateur délégué de l’association propriétaire du motocycle séquestré, association qui est d’ailleurs domiciliée chez lui. Il ressort en outre du dossier qu’il est le seul utilisateur de ce véhicule, lequel reste à sa disposition. Ainsi, en lui retirant l’objet qui lui sert à commettre ses infractions, la mesure ordonnée est propre à prévenir, ou à tout le moins à retarder ou à rendre plus difficile la commission de nouvelles infractions routières par le prévenu. Dans la mesure où ses multiples condamnations antérieures, que ce soit à des peines pécuniaires ou à des peines privatives de liberté, ne l’ont</w:t>
      </w:r>
    </w:p>
    <w:p>
      <w:r>
        <w:t>- 9 - manifestement pas dissuadé de compromettre à nouveau la sécurité des personnes par le biais d’infractions routières, force est en outre de constater que ce résultat ne peut pas, à ce stade, être atteint par une mesure moins incisive, quand bien même le séquestre porte sur le véhicule d’un tiers (cf. CREP 1er septembre 2020/636 consid. 3.2). 3.3 Cela étant, l’association recourante invoque qu’elle veut récupérer le scooter pour qu’il soit vendu et retiré du marché. En outre, elle en demande la restitution de la plaque de contrôle afin qu’il soit mis fin à la couverture d’assurance pour véhicule à moteur et à la « soumission à la taxe automobile ». Aucune démarche tendant à la vente du motocycle n’est documentée. Il s’agit donc d’une affirmation gratuite, faute pour l’association recourante d’avoir produit une confirmation d’achat signée par un promettant-acquéreur. Pour le reste, le dépôt des plaques de contrôle du motocycle peut être effectué directement par le Procureur. A cet égard, à l’exception des plaques destinées à l’immatriculation provisoire, hypothèse qui n’est pas en cause ici, les plaques restent la propriété de l’autorité (art. 87 al. 5 OAC [Ordonnance du 27 octobre 1976 réglant l’admission à la circulation routière ; RS 741.511]). Dès lors que la propriétaire du motocycle demande expressément le dépôt des plaques, il appartiendra au Procureur d’examiner s’il y a lieu de donner suite à cette demande en remettant directement les plaques à l’autorité compétente.</w:t>
      </w:r>
    </w:p>
    <w:p>
      <w:r>
        <w:rPr>
          <w:b/>
        </w:rPr>
        <w:t>E. 4</w:t>
      </w:r>
    </w:p>
    <w:p>
      <w:r>
        <w:t>Au vu de ce qui précède, le recours, manifestement mal fondé, doit être rejeté sans autre échange d’écritures (art. 390 al. 2 CPP) et l’ordonnance attaquée confirmée. Vu le sort du recours, les frais de la procédure, constitués en l’espèce du seul émolument d’arrêt, par 990 fr. (art. 20 al. 1 TFIP [Tarif des frais de procédure et indemnités en matière pénale du 28 septembre 2010 ; BLV 312.03.1]), seront mis à la charge de la recourante, qui succombe (art. 428 al. 1 CPP).</w:t>
      </w:r>
    </w:p>
    <w:p>
      <w:r>
        <w:t>- 10 - Par ces motifs, la Chambre des recours pénale prononce : I. Le recours est rejeté. II. L’ordonnance du 28 août 2020 est confirmée.</w:t>
      </w:r>
    </w:p>
    <w:p>
      <w:r>
        <w:t>- 11 - III. Les frais d’arrêt, par 990 fr. (neuf cent nonante francs), sont mis à la charge de G.________. IV. L’arrêt est exécutoire. Le président : Le greffier : Du Le présent arrêt, dont la rédaction a été approuvée à huis clos, est notifié, par l'envoi d'une copie complète, à : - G.________, - Ministère public central, et communiqué à : - M. le Procureur de l’arrondissement de La Côte,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