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PE20.014488 vom 28. Oktober 2020</w:t>
      </w:r>
    </w:p>
    <w:p>
      <w:r>
        <w:t>VD Tribunal cantonal, 2020-10-28, FR</w:t>
      </w:r>
    </w:p>
    <w:p>
      <w:r>
        <w:rPr>
          <w:b/>
        </w:rPr>
        <w:t xml:space="preserve">Quelle: </w:t>
      </w:r>
      <w:r>
        <w:t>https://mcp.opencaselaw.ch/entscheid/vd_gerichte_PE20.014488</w:t>
      </w:r>
    </w:p>
    <w:p>
      <w:r>
        <w:t>FR: VD_GERICHTE PE20.014488 du 28 octobre 2020</w:t>
      </w:r>
    </w:p>
    <w:p>
      <w:r>
        <w:t>IT: VD_GERICHTE PE20.014488 del 28 ottobre 2020</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déposé en temps utile et dans les formes prescrites (art. 385 al. 1 CPP) devant l'autorité compétente, le recours est recevable dans la mesure où il été interjeté par P.________, auteur de la plainte pénale, qui a qualité pour recourir (art. 382 al. 1 CPP). Il est toutefois irrecevable en tant qu’il a été déposé par B.________, qui n’a pas la qualité de partie plaignante.</w:t>
      </w:r>
    </w:p>
    <w:p>
      <w:r>
        <w:rPr>
          <w:b/>
        </w:rPr>
        <w:t>E. 2.1</w:t>
      </w:r>
    </w:p>
    <w:p>
      <w:r>
        <w:t>Le recourant fait valoir qu’en refusant d’ouvrir une instruction pénale sans autre opération, notamment sans procéder à son audition, la procureure l’aurait privé de la possibilité d’exercer son droit d’être</w:t>
      </w:r>
    </w:p>
    <w:p>
      <w:r>
        <w:t>- 4 - entendu et aurait ainsi violé les art. 107 CPP et 29 al. 2 Cst. (Constitution fédérale de la Confédération suisse du 18 avril 1999 ; RS 101).</w:t>
      </w:r>
    </w:p>
    <w:p>
      <w:r>
        <w:rPr>
          <w:b/>
        </w:rPr>
        <w:t>E. 2.2</w:t>
      </w:r>
    </w:p>
    <w:p>
      <w:r>
        <w:t>Le droit d'être entendu garanti par les art. 107 CPP et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ATF142 III 48 consid. 4.1. ; ATF 140 I 285 consid. 6.3.1 et les arrêts cités). Le droit d’être entendu n’oblige pas l’autorité à soumettre par avance aux parties, pour prise de position, le raisonnement qu’elle entend suivre, sauf si elle entend retenir un motif que les parties ne peuvent pas prévoir (ATF 145 I 167 consid. 4.1 ; TF 6B_196/2020 du 14 octobre 2020 consid. 2.1). Il incombe donc en principe à celui qui présente une requête, qui forme une demande ou qui dépose une plainte de faire valoir spontanément ses arguments sur la suite que l’autorité qu’il a saisie doit donner à son acte ; son droit d’être entendu n’est pas violé par le fait que l’autorité statue sans autre opération à réception de son acte. En particulier, celui qui dépose une plainte pénale en main du Ministère public n’a pas à être interpellé si le procureur refuse d’entrer en matière pour des motifs qui ressortent de la plainte elle-même ou qui sont manifestement connus de son auteur.</w:t>
      </w:r>
    </w:p>
    <w:p>
      <w:r>
        <w:rPr>
          <w:b/>
        </w:rPr>
        <w:t>E. 2.3</w:t>
      </w:r>
    </w:p>
    <w:p>
      <w:r>
        <w:t>En l’espèce, la procureure a refusé d’entrer en matière sur la plainte au motif que les faits décrits dans celle-ci ne seraient pas constitutifs d’une infraction pénale et permettraient d’emblée d’exclure l’élément subjectif de l’infraction. Ces motifs se rapportent exclusivement à des éléments contenus dans la plainte et ils s’inscrivent dans le cadre de l’application de l’art. 310 al. 1 let. a CPP, dont l’éventualité était parfaitement prévisible. La procureure n’avait dès lors pas à interpeller le recourant avant de rendre sa décision, encore moins à procéder à son</w:t>
      </w:r>
    </w:p>
    <w:p>
      <w:r>
        <w:t>- 5 - audition. Le moyen pris d’une violation du droit d’être entendu est manifestement mal fondé.</w:t>
      </w:r>
    </w:p>
    <w:p>
      <w:r>
        <w:rPr>
          <w:b/>
        </w:rPr>
        <w:t>E. 3.1</w:t>
      </w:r>
    </w:p>
    <w:p>
      <w:r>
        <w:t>Le recourant fait grief à la procureure d’avoir mis trois mois pour rendre sa décision. Il soutient qu’en vertu de l’art. 310 al. 1 CPP, la procureure aurait dû, si elle voulait refuser d’entrer en matière, statuer immédiatement et qu’en tout état de cause, elle aurait ainsi violé le principe de la célérité en rendant la décision attaquée trois mois et trois jours après le dépôt de la plainte.</w:t>
      </w:r>
    </w:p>
    <w:p>
      <w:r>
        <w:rPr>
          <w:b/>
        </w:rPr>
        <w:t>E. 3.2</w:t>
      </w:r>
    </w:p>
    <w:p>
      <w:r>
        <w:t>Selon l’art. 310 al. 1 CPP, le Ministère public rend immédiatement une ordonnance de non-entrée en matière si l’un ou l’autre des motifs prévus aux let. a à c de cette disposition est réalisé. Malgré la connotation temporelle du terme « immédiatement » utilisé par le législateur, l’art. 310 CPP ne fixe pas de délai au procureur pour rendre sa décision ; le procureur doit simplement veiller au respect du principe de la célérité consacré à l’art. 5 CPP (Cherpillod, Arrêt de la procédure pénale par le Ministère public sans condamnation ni instruction : l’ordonnance de non-entrée en matière, RPS 133/2015 pp. 192 ss ; Moreillon/Parein- Reymond, Petit Commentaire, Code de procédure pénale, 2e éd., Bâle 2016, n. 10 ad art. 310 CPP). Ainsi, dans le cadre de l’art. 310 CPP, « immédiatement » signifie « sans autre opération que celles prévues à l’art. 309 al. 2 CPP », soit « sans qu’une instruction soit ouverte » (cf. TF 1B_111/2012 du 5 avril 2012 consid. 2.1 ; Grodecki/Cornu, in Jeanneret/Kuhn/Perrier Depeursinge [édit.], Commentaire romand, Code de procédure pénale suisse, 2e éd., Bâle 2019, n. 2 ad art. 310 CPP).</w:t>
      </w:r>
    </w:p>
    <w:p>
      <w:r>
        <w:rPr>
          <w:b/>
        </w:rPr>
        <w:t>E. 3.3</w:t>
      </w:r>
    </w:p>
    <w:p>
      <w:r>
        <w:t>En l’espèce, contrairement à ce qui est soutenu, un délai de trois mois pour rendre une ordonnance de non-entrée en matière ne viole pas le principe de la célérité prévu à l’art. 5 CPP, ni l’art. 310 al. 1 CPP. Le moyen est dépourvu de tout fondement.</w:t>
      </w:r>
    </w:p>
    <w:p>
      <w:r>
        <w:rPr>
          <w:b/>
        </w:rPr>
        <w:t>E. 4</w:t>
      </w:r>
    </w:p>
    <w:p>
      <w:r>
        <w:t>- 6 -</w:t>
      </w:r>
    </w:p>
    <w:p>
      <w:r>
        <w:rPr>
          <w:b/>
        </w:rPr>
        <w:t>E. 4.1</w:t>
      </w:r>
    </w:p>
    <w:p>
      <w:r>
        <w:t>Sur le fond, le recourant soutient que la procureure ne pouvait pas refuser d’entrer en matière en application de l’art. 310 al. 1 let. a CPP, dès lors qu’il ne pourrait pas être exclu en l’état que X.H.________ et B.H.________ se soient rendus coupables de calomnie ou de diffamation.</w:t>
      </w:r>
    </w:p>
    <w:p>
      <w:r>
        <w:rPr>
          <w:b/>
        </w:rPr>
        <w:t>E. 4.2.1</w:t>
      </w:r>
    </w:p>
    <w:p>
      <w:r>
        <w:t>Conformément à l'art. 310 al. 1 let. a CPP, le Ministère public rend immédiatement – c'est-à-dire sans qu'une instruction soit ouverte (cf. supra consid. 3.2) – une ordonnance de non-entrée en matière lorsqu'il apparaît, à réception de la dénonciation (cf. art. 301 s.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6B_196/2020, déjà cité, consid. 3.1).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w:t>
      </w:r>
    </w:p>
    <w:p>
      <w:r>
        <w:t>- 7 - décembre 2019 consid. 3.3.1). Dans le doute, lorsque les conditions d'une non-entrée en matière ne sont pas réalisées avec une certitude absolue, l'instruction doit être ouverte (TF 6B_834/2019, déjà cité, consid. 3.3.2 : TF 6B_553/2019 du 6 novembre 2019 consid. 3.1 ; cf. ATF 143 IV 241 consid. 2.2.1, JdT 2017 IV 357 ; ATF 138 IV 86 consid. 4.1, SJ 2012 I 304, JdT 2013 IV 211 ;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r>
        <w:rPr>
          <w:b/>
        </w:rPr>
        <w:t>E. 4.2.2</w:t>
      </w:r>
    </w:p>
    <w:p>
      <w:r>
        <w:t>Selon l'art. 173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(al. 1). L'inculpé n'encourra aucune peine s'il prouve que les allégations qu'il a articulées ou propagées sont conformes à la vérité ou qu'il avait des raisons sérieuses de les tenir de bonne foi pour vraies (al.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(al. 3). L'honneur protégé par le droit pénal est conçu de façon générale comme un droit au respect, qui est lésé par toute assertion propre à exposer la personne visée au mépris en sa qualité d'homme (ATF 145 IV 462 consid. 4.2.2, SJ 2020 I 97 ; ATF 137 IV 313 consid. 2.1.1, JdT 2012 IV 214 ; ATF 132 IV 112 consid. 2.1, JdT 2007 IV 115, SJ 2007 I 76).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JdT 1995 IV 121, SJ 1993 634 ;</w:t>
      </w:r>
    </w:p>
    <w:p>
      <w:r>
        <w:t>- 8 - ATF 105 IV 194 consid. 2a, JdT 1980 IV 128 ; TF 6B_1254/2019 du 16 mars 2020 consid. 6.1 et les réf. citées). Jouit du droit à l'honneur non seulement toute personne physique, mais toute personne morale ou entité capable d'ester en justice, à l'exception des collectivités publiques et des autorités (ATF 124 IV 262 consid. 2a, SJ 1999 I 177 ; ATF 114 IV 14 consid. 2a, JdT 1989 IV 5).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6B_1254/2019, déjà cité, consid. 6.1 et les réf. citées).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6B_1268/2019 du 15 janvier 2020 consid. 1.2 ; TF 6B_1254/2019, déjà cité, consid. 6.1 et les réf. citées ; cf. ég. ATF 145 IV 462 consid. 4.2.2).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w:t>
      </w:r>
    </w:p>
    <w:p>
      <w:r>
        <w:t>- 9 - à des tiers, le dol éventuel étant à cet égard suffisant, et qu'il ait en outre su que ses allégations étaient fausses, ce qui implique une connaissance stricte, de sorte que, sur ce point, le dol éventuel ne suffit pas (cf. ATF 136 IV 170 consid. 2.1, JdT 2011 IV 102, SJ 2012 I 27 ; TF 6B_1254/2019, déjà cité, consid. 6.1 et les réf.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145 IV 462 consid. 4.2.3 ; ATF 137 IV 313 consid. 2.1.3). Si le contenu d'un message relève de la constatation de fait, la détermination du sens qu'il convient d'attribuer audit message (en se plaçant dans la perception que devrait en avoir le destinataire non prévenu) constitue une question de droit (ATF 137 IV 313 consid. 2.1.3 ; pour le tout TF 6B_1020/2018 du 1er juillet 2019 consid. 5.1.2).</w:t>
      </w:r>
    </w:p>
    <w:p>
      <w:r>
        <w:rPr>
          <w:b/>
        </w:rPr>
        <w:t>E. 4.3</w:t>
      </w:r>
    </w:p>
    <w:p>
      <w:r>
        <w:t>Pour juger du sens à attribuer au passage litigieux des déterminations déposées le 20 mai 2020 par X.H.________ et B.H.________, seul importe le libellé de cette écriture, à l’exclusion des lettres des 5 août 2019, 13 août 2019 et 14 mai 2020 invoquées dans le recours mais qui ne sont pas l’objet de la plainte du 28 mai 2020. Dans ce passage, X.H.________ et B.H.________ imputent au recourant d’avoir fait valoir contre eux des prétentions pécuniaires infondées et d’avoir produit en justice un faux devis pour tenter de les justifier. Certes, ces imputations étaient énoncées dans une écriture destinée à l’autorité de recours, dont les membres savent que des justiciables non assistés peuvent employer des termes qui dépassent leur pensée. Il n’empêche que X.H.________ et B.H.________ ont qualifié le comportement qu’ils imputaient au recourant de tentative d’escroquerie et que la conduite dont ils paraissent l’avoir accusé – soit de s’être servi</w:t>
      </w:r>
    </w:p>
    <w:p>
      <w:r>
        <w:t>- 10 - d’un devis mensonger pour les contraindre à lui payer 12'000 fr. qu’ils ne lui devraient pas – constitue, indépendamment de son éventuelle qualification pénale, un comportement propre à le rendre méprisable. Si, dans le cadre d’un procès, les parties sont libres d’alléguer certaines choses, celles-ci doivent respecter des limites (cf. Dupuis et al., Petit commentaire, Code pénal, 2e éd., Bâle 2017, n. 6 ad art. 14 CP), qui semblent avoir été dépassées. Le passage litigieux paraît dès lors bien entrer dans les prévisions de l’art. 173 ch. 1 CP. Le dossier ne comporte en outre pas d’éléments suffisants pour pouvoir retenir d’emblée que X.H.________ et B.H.________ pourront apporter l’une ou l’autre des preuves libératoires (vérité ou bonne foi). La procureure ne pouvait dès lors pas refuser d’entrer en matière.</w:t>
      </w:r>
    </w:p>
    <w:p>
      <w:r>
        <w:rPr>
          <w:b/>
        </w:rPr>
        <w:t>E. 5.1</w:t>
      </w:r>
    </w:p>
    <w:p>
      <w:r>
        <w:t>Au vu de ce qui précède, le recours doit être admis dans la mesure où il est recevable, l’ordonnance entreprise annulée et le dossier de la cause renvoyé au Ministère public pour qu’il procède à l’ouverture d’une instruction pénale.</w:t>
      </w:r>
    </w:p>
    <w:p>
      <w:r>
        <w:rPr>
          <w:b/>
        </w:rPr>
        <w:t>E. 5.2</w:t>
      </w:r>
    </w:p>
    <w:p>
      <w:r>
        <w:t>Les frais d’arrêt, par 1'100 fr. (art. 20 al. 1 TFIP [tarif des frais de procédure et indemnités en matière pénale du 28 septembre 2010 ; BLV 312.03.1]), seront laissés à la charge de l’Etat (art. 428 al. 4 CPP).</w:t>
      </w:r>
    </w:p>
    <w:p>
      <w:r>
        <w:rPr>
          <w:b/>
        </w:rPr>
        <w:t>E. 5.3</w:t>
      </w:r>
    </w:p>
    <w:p>
      <w:r>
        <w:t>Le recourant, qui a procédé avec l’assistance d’un avocat de choix et qui a obtenu gain de cause, a droit à une indemnité pour les dépenses occasionnées par la procédure de recours (art. 436 al. 1 CPP). Cette indemnité sera fixée à 750 fr., correspondant à 2 h 30 d’activité au tarif horaire d’avocat de 300 fr. (art. 26a al. 3 TFIP), plus des débours forfaitaires à hauteur de 2 % des honoraires (art. 19 al. 2 TDC [tarif des dépens en matière civile du 23 novembre 2010 ; BLV 270.11.6], applicable par renvoi de l’art. 26a al. 6 TFIP), par 15 fr., et un montant correspondant</w:t>
      </w:r>
    </w:p>
    <w:p>
      <w:r>
        <w:t>- 11 - à la TVA de 7,7 % sur le tout, par 58 fr. 90, soit à un montant total arrondi de 824 francs. Cette indemnité sera laissée à la charge de l’Etat. Par ces motifs, la Chambre des recours pénale prononce : I. Le recours est admis dans la mesure où il est recevable. II. L’ordonnance du 31 août 2020 est annulée. III. Le dossier de la cause est renvoyé au Ministère public de l’arrondissement de l’Est vaudois pour qu’il procède dans le sens des considérants. IV. Les frais d’arrêt, par 1'100 fr. (mille cent francs), sont laissés à la charge de l’Etat. V. Une indemnité de 824 fr. (huit cent vingt-quatre francs) est allouée aux recourants pour les frais liés à l’exercice raisonnable de leurs droits de procédure en deuxième instance, à la charge de l’État. VI. L’arrêt est exécutoire. Le président : La greffière : Du Le présent arrêt, dont la rédaction a été approuvée à huis clos, est notifié, par l'envoi d'une copie complète, à : - Me Julien Chappuis (pour P.________ et B.________), - Me Yann Oppliger (pour X.H.________ et B.H.________), - Ministère public central,</w:t>
      </w:r>
    </w:p>
    <w:p>
      <w:r>
        <w:t>- 12 -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