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PE20.014486 vom 22. Dezember 2020</w:t>
      </w:r>
    </w:p>
    <w:p>
      <w:r>
        <w:t>VD Tribunal cantonal, 2020-12-22, FR</w:t>
      </w:r>
    </w:p>
    <w:p>
      <w:r>
        <w:rPr>
          <w:b/>
        </w:rPr>
        <w:t xml:space="preserve">Quelle: </w:t>
      </w:r>
      <w:r>
        <w:t>https://mcp.opencaselaw.ch/entscheid/vd_gerichte_PE20.014486</w:t>
      </w:r>
    </w:p>
    <w:p>
      <w:r>
        <w:t>FR: VD_GERICHTE PE20.014486 du 22 décembre 2020</w:t>
      </w:r>
    </w:p>
    <w:p>
      <w:r>
        <w:t>IT: VD_GERICHTE PE20.014486 del 22 dicembre 2020</w:t>
      </w:r>
    </w:p>
    <w:p>
      <w:pPr>
        <w:pStyle w:val="Heading2"/>
      </w:pPr>
      <w:r>
        <w:t>Erwägungen</w:t>
      </w:r>
    </w:p>
    <w:p>
      <w:r>
        <w:rPr>
          <w:b/>
        </w:rPr>
        <w:t>E. 1</w:t>
      </w:r>
    </w:p>
    <w:p>
      <w:r>
        <w:t>CPP), le recours de A.________ est recevable (Moreillon/Parein-Reymond, Code de procédure pénale, Petit commentaire, 2e éd., Bâle 2016, n. 18 ad art. 132 CPP).</w:t>
      </w:r>
    </w:p>
    <w:p>
      <w:r>
        <w:rPr>
          <w:b/>
        </w:rPr>
        <w:t>E. 2.1</w:t>
      </w:r>
    </w:p>
    <w:p>
      <w:r>
        <w:t>Le recourant indique contester toute infraction et maîtriser « seulement des rudiments de la langue française ». Il soutient notamment qu'il a besoin d'un défenseur d'office pour « développer les moyens aptes à mener une défense minimale, en particulier à conduire à la constatation de son absence de culpabilité », pour solliciter « des mesures de preuves nécessaires », invoquer l'absence de preuve dactyloscopique, ainsi que l'absence de matériel génétique, demander des confrontations entre tous les protagonistes et la production de documents. Il invoque également la difficulté liée à la confiscation et le « caractère épineux de ces concepts ».</w:t>
      </w:r>
    </w:p>
    <w:p>
      <w:r>
        <w:rPr>
          <w:b/>
        </w:rPr>
        <w:t>E. 2.2.1</w:t>
      </w:r>
    </w:p>
    <w:p>
      <w:r>
        <w:t>Aux termes de l'art. 130 CPP, le prévenu doit avoir un défenseur notamment dans les cas où la détention provisoire, y compris la durée de l’arrestation provisoire, a excédé dix jours (let. a) ou dans les cas où il encourt une peine privative de liberté de plus d'un an, une mesure entraînant une privation de liberté ou une expulsion (let. b). La peine que le prévenu « encourt » (cf. art. 130 let. b CPP), ou celle dont il est « passible » (cf. art. 132 al. 3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(CREP 20 décembre 2019/1029 consid. 2.1.1; CREP 10 août 2018/604 consid. 2.2.1 et les références citées).</w:t>
      </w:r>
    </w:p>
    <w:p>
      <w:r>
        <w:t>- 5 -</w:t>
      </w:r>
    </w:p>
    <w:p>
      <w:r>
        <w:rPr>
          <w:b/>
        </w:rPr>
        <w:t>E. 2.2.2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La seconde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120 jours-amende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143 I 164 consid. 3.5 et les références citées ; TF 1B_475/2020 du 19 novembre 2020 consid. 2.2 ; TF 1B_210/2019 du 29 juillet 2019 consid. 2.1). S'agissant de la difficulté objective de la cause, la jurisprudence impose de se demander si une personne raisonnable et de bonne foi, qui présenterait les mêmes caractéristiques que le recourant mais disposerait des ressources suffisantes, ferait ou non appel à un avocat (ATF 140 V 521 consid. 9.1 ; TF 1B_475/2020 précité consid. 2.1). La difficulté objective d'une cause est admise sur le plan juridique lorsque la subsomption des</w:t>
      </w:r>
    </w:p>
    <w:p>
      <w:r>
        <w:t>- 6 - faits donne lieu à des doutes (TF 1B_475/2020 précité consid. 2.1 ; TF 1B_360/2020 du 4 septembre 2020 consid. 2.2). Quant à la difficulté subjective, outre les éléments indiqués plus haut, il faut tenir compte des mesures qui paraissent nécessaires, dans le cas particulier, pour assurer la défense du prévenu, notamment en ce qui concerne les preuves qu'il devra offrir (TF 1B_475/2020 précité consid. 2.1 ; TF 1B_360/2020 précité consid. 2.2). En revanche, dans les « cas bagatelle » – soit, selon le Tribunal fédéral, ceux dans lesquels il ne risque qu'une peine de courte durée ou une amende –, le prévenu n'a pas, même s'il est indigent, de droit constitutionnel à la désignation d'un défenseur d'office gratuit (ATF 143 I 164 consid. 3.5 ; CREP 12 mars 2020/121).</w:t>
      </w:r>
    </w:p>
    <w:p>
      <w:r>
        <w:rPr>
          <w:b/>
        </w:rPr>
        <w:t>E. 2.3</w:t>
      </w:r>
    </w:p>
    <w:p>
      <w:r>
        <w:t>En l'espèce, le recourant ne se trouve pas dans un cas de défense obligatoire. La peine privative de liberté ferme de 90 jours retenue dans l'ordonnance pénale – valant acte d'accusation en cas d'opposition (art. 356 al. 1 in fine CPP) – se trouve en outre en dessous du seuil de quatre mois prévu à l'art. 132 al. 3 CPP ; cet élément ne suffit ainsi pas pour établir la gravité de la cause. Il reste donc à examiner s'il existe d'autres motifs justifiant la présence d'un avocat d'office pour défendre les intérêts du recourant. En ce qui concerne les difficultés subjectives, le recourant est ressortissant du Nigéria, âgé de 43 ans et domicilié en Espagne. Les difficultés de compréhension de la langue invoquées doivent être niées. En effet, lorsqu'il a été entendu, il s'est exprimé en français et a même déclaré qu'il n'avait pas besoin d'un interprète, précisant qu'il avait appris le français au Bénin (cf. PV aud. 1, R 1 et 3). Certes, dans son recours, son conseil minimise cette maîtrise, mais cet argument est démenti par l'audition précitée, d'une part, et d'éventuelles difficultés à maîtriser les finesses de la langue peuvent être palliées par un interprète (art. 68 al. 1 CPP; CREP 5 février 2020/94 ; CREP 26 janvier 2018/54), d'autre part. En outre, la cause ne semble présenter aucune difficulté de fait que le prévenu ne pourrait pas surmonter seul. En effet, nul n'est besoin d'utiliser un vocabulaire « châtié », comme l'invoque le recourant, pour contester être impliqué dans le trafic portant sur 15 boulettes de cocaïne et</w:t>
      </w:r>
    </w:p>
    <w:p>
      <w:r>
        <w:t>- 7 - expliquer qu'elles ne seraient pas à lui, voire de requérir l'audition de témoins, notamment des policiers ayant procédé à la perquisition de ses affaires. Il en va de même s'agissant de la provenance des importantes sommes d'argent saisies dans ses affaires. Du reste, lorsqu'il a été entendu par la police, le recourant a fourni de lui-même à cet égard des explications précises, notamment sur le fait qu'il aurait partagé sa chambre avec une autre personne. Enfin, la cause ne présente pas davantage de difficultés sur le plan juridique, que ce soit sous l’angle procédural ou s'agissant du fond. En particulier, la qualification juridique, si les faits sont avérés, ne présente aucune difficulté, que ce soit sous l'angle de la loi fédérale sur les stupéfiants ou de la loi fédérale sur les étrangers et l'intégration. Il en va de même de la confiscation qui dépend simplement des conséquences de l'accusation qui sera confirmée ou pas par le Tribunal de police.</w:t>
      </w:r>
    </w:p>
    <w:p>
      <w:r>
        <w:rPr>
          <w:b/>
        </w:rPr>
        <w:t>E. 2.4</w:t>
      </w:r>
    </w:p>
    <w:p>
      <w:r>
        <w:t>C’est dès lors à juste titre que le Ministère public a refusé de mettre le prévenu au bénéfice d’une défense d’office, les conditions de l’art. 132 CPP n’étant pas réunies.</w:t>
      </w:r>
    </w:p>
    <w:p>
      <w:r>
        <w:rPr>
          <w:b/>
        </w:rPr>
        <w:t>E. 3</w:t>
      </w:r>
    </w:p>
    <w:p>
      <w:r>
        <w:t>Au vu de ce qui précède, le recours, manifestement mal fondé, doit être rejeté, sans échange d’écritures (art. 390 al. 2 CPP), et l’ordonnance contestée confirmée. Les frais de la procédure de recours, constitués en l'espèce du seul émolument d’arrêt, par 770 fr. (art. 20 al. 1 TFIP [tarif des frais de procédure et indemnités en matière pénale du 28 septembre 2010; BLV 312.03.1]), seront mis à la charge du recourant, qui succombe (art. 428 al. 1 CPP).</w:t>
      </w:r>
    </w:p>
    <w:p>
      <w:r>
        <w:t>- 8 - Par ces motifs, la Chambre des recours pénale prononce : I. Le recours est rejeté. II. L'ordonnance du 5 octobre 2020 est confirmée. III. Les frais d'arrêt, par 770 fr. (sept cent septante francs), sont mis à la charge de A.________. IV. L’arrêt est exécutoire. Le président : La greffière : Du Le présent arrêt, dont la rédaction a été approuvée à huis clos, est notifié, par l'envoi d'une copie complète, à : - Me Stephen Gintzburger, avocat (pour A.________),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