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PE20.014437 vom 17. Juni 2022</w:t>
      </w:r>
    </w:p>
    <w:p>
      <w:r>
        <w:t>VD Tribunal cantonal, 2022-06-17, FR</w:t>
      </w:r>
    </w:p>
    <w:p>
      <w:r>
        <w:rPr>
          <w:b/>
        </w:rPr>
        <w:t xml:space="preserve">Quelle: </w:t>
      </w:r>
      <w:r>
        <w:t>https://mcp.opencaselaw.ch/entscheid/vd_gerichte_PE20.014437</w:t>
      </w:r>
    </w:p>
    <w:p>
      <w:r>
        <w:t>FR: VD_GERICHTE PE20.014437 du 17 juin 2022</w:t>
      </w:r>
    </w:p>
    <w:p>
      <w:r>
        <w:t>IT: VD_GERICHTE PE20.014437 del 17 giugno 2022</w:t>
      </w:r>
    </w:p>
    <w:p>
      <w:pPr>
        <w:pStyle w:val="Heading2"/>
      </w:pPr>
      <w:r>
        <w:t>Erwägungen</w:t>
      </w:r>
    </w:p>
    <w:p>
      <w:r>
        <w:rPr>
          <w:b/>
        </w:rPr>
        <w:t>E. 1</w:t>
      </w:r>
    </w:p>
    <w:p>
      <w:r>
        <w:t>X.________, de nationalité [...], divorcé, est né le [...] 1969. Il a deux filles, dont l’aînée, âgée d’environ 20 ans, vit avec lui et poursuit des études, et la cadette vit avec sa mère en [...]. Il a une formation de gerbeur, acquise auprès de l’hypermarché Carrefour, qui consiste en la conduite d’engins de déplacement de charges. Il travaille actuellement comme magasinier et conseiller de vente à plein temps pour la société [...]. Au cours de l’audience de première instance, il a déclaré que, dès le</w:t>
      </w:r>
    </w:p>
    <w:p>
      <w:r>
        <w:t>- 4 - 1er septembre 2022, il serait muté à Fribourg jusqu’en 2024. Il réalise un salaire net de 3'980 fr., allocation familiale par 300 fr. comprise, payé treize fois l’an. Mensuellement, il paie 225 fr. pour la pension alimentaire de sa fille cadette, 1'650 fr. pour son loyer, 209 fr. pour sa prime d’assurance-maladie et celle de sa fille, après subsides, 250 fr. pour ses impôts et 163 fr. pour un leasing de moto. Il a déclaré qu’il n’avait ni dettes ni fortune. Le casier judiciaire suisse du prévenu comporte une condamnation, le 9 mai 2017, par le Ministère public de Neuchâtel, à 20 jours-amende à 100 fr. le jour, avec sursis pendant 2 ans, pour délit contre la Loi fédérale sur les armes. Cette condamnation est inscrite dans son casier judiciaire [...].</w:t>
      </w:r>
    </w:p>
    <w:p>
      <w:r>
        <w:rPr>
          <w:b/>
        </w:rPr>
        <w:t>E. 1.1</w:t>
      </w:r>
    </w:p>
    <w:p>
      <w:r>
        <w:t>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w:t>
      </w:r>
    </w:p>
    <w:p>
      <w:r>
        <w:t>- 6 -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2</w:t>
      </w:r>
    </w:p>
    <w:p>
      <w:r>
        <w:t>Le 23 juin 2020, vers 11h45, à [...], sur le quai de chargement du magasin [...], E.________, chauffeur poids lourds auprès de l’entreprise [...], a livré des marchandises avec son camion. A son arrivée, X.________, employé du magasin [...], s'est occupé de décharger les palettes de marchandises du véhicule au moyen d'un transpalette électrique LINDE L 12. Alors que la neuvième palette était en partie sortie du camion, E.________ et le collègue du prévenu ont constaté que celle-ci était plus longue que les autres, que les fourches du transpalette n'arrivaient qu'à la moitié de la palette et que celle-ci avait tendance à partir en arrière en raison de la répartition de la charge. Afin d'éviter que la palette ne tombe et dans le but d'équilibrer la charge, E.________ et B.________, également employé auprès du magasin [...], sont montés sur la palette. Lorsque cette dernière a pu suffisamment être sortie du camion, X.________ a fait descendre les fourches sans s’assurer que sa manœuvre était sans danger pour les deux hommes qui se trouvaient sur la palette et alors qu’E.________ se tenait encore, avec sa main droite, au transpalette au niveau d'une pièce en forme d'arche. Le mouvement mécanique des pièces du transpalette, provoqué par la baisse des fourches, a écrasé l'index droit et le majeur droit d’E.________ qui ont été arrachés. E.________ a subi une amputation trans-phalange distale de l'index droit et une subamputation trans-phalange moyenne du majeur</w:t>
      </w:r>
    </w:p>
    <w:p>
      <w:r>
        <w:t>- 5 - droit causant un dommage esthétique permanent. Il a été hospitalisé du 23 au 27 juin 2020 et a subi une incapacité de travail à 100 % du 23 juin au 27 juillet 2020. Au cours de l’audience de première instance, il a indiqué qu’il avait quatre doigts, qu’il n’avait plus de sensation à l’index, qu’il avait subi quatre opérations, qu’il ne pouvait pas encore fermer complètement sa main, qu’il avait été licencié et qu’il bénéficiait actuellement des prestations de la SUVA.</w:t>
      </w:r>
    </w:p>
    <w:p>
      <w:r>
        <w:rPr>
          <w:b/>
        </w:rPr>
        <w:t>E. 3</w:t>
      </w:r>
    </w:p>
    <w:p>
      <w:r>
        <w:t>Le 8 juin 2021, à 19h32, à Villars-le-Terroir, sur la route secondaire La Grange-à-Janin/Bercher, X.________ a été contrôlé alors qu'il circulait au volant d'un véhicule Renault, immatriculé [...], à une vitesse de 126 km/h, marge de sécurité déduite, au lieu des 80 km/h prescrits. En d roit : 1.</w:t>
      </w:r>
    </w:p>
    <w:p>
      <w:r>
        <w:rPr>
          <w:b/>
        </w:rPr>
        <w:t>E. 3.1</w:t>
      </w:r>
    </w:p>
    <w:p>
      <w:r>
        <w:t>L’appelant requiert l’audition en qualité de témoin de B.________, son ancien collègue qui était présent lorsqu’il déchargeait les palettes et qui pourrait, selon lui, clarifier l’enchaînement des événements, notamment le fait que le témoin lui a donné son feu vert pour descendre les fourches du transpalette.</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Le magistrat peut ainsi refuser des preuves nouvelles, lorsqu'une administration anticipée de ces preuves démontre qu'elles ne</w:t>
      </w:r>
    </w:p>
    <w:p>
      <w:r>
        <w:t>- 7 - seront pas de nature à modifier le résultat de celles déjà administrées (ATF 136 I 229 consid. 5.3). Le refus d'instruire ne viole ainsi le droit d'être entendu des parties et l'art. 389 al. 3 CPP que si l'appréciation anticipée effectuée est entachée d'arbitraire (ATF 141 I 60 consid. 3.3, JdT 2015 I 115).</w:t>
      </w:r>
    </w:p>
    <w:p>
      <w:r>
        <w:rPr>
          <w:b/>
        </w:rPr>
        <w:t>E. 3.3</w:t>
      </w:r>
    </w:p>
    <w:p>
      <w:r>
        <w:t>En l’espèce, B.________ a été entendu en qualité de témoin par la police le 23 juin 2020. Il a expliqué en détail le déroulement du déchargement de la palette en question, de sorte que ce témoignage est suffisant pour parvenir à une conclusion sur la réalisation ou non des éléments de fait pertinents pour l’application du droit pénal matériel. La requête de l’appelant tendant à une seconde audition de B.________ doit par conséquent être rejetée.</w:t>
      </w:r>
    </w:p>
    <w:p>
      <w:r>
        <w:rPr>
          <w:b/>
        </w:rPr>
        <w:t>E. 4.1</w:t>
      </w:r>
    </w:p>
    <w:p>
      <w:r>
        <w:t>En examinant les griefs du prévenu, le premier juge a retenu qu’il fallait retenir la version du plaignant selon laquelle ni celui-ci, ni B.________ n’avaient donné verbalement leur accord au prévenu pour qu’il descende les fourches : en effet, on ne voyait pas pour quelle raison le plaignant aurait donné son feu vert alors qu’il avait la main droite sur le cadre du transpalette et qu’il était en train de chercher à se stabiliser. Le premier juge a aussi retenu que B.________ était monté en premier sur le transpalette et qu’il avait ensuite été rejoint par l’appelant. Pour le Tribunal de police, c’est cette chronologie qui explique les raisons pour lesquelles le plaignant s’est agrippé de manière incorrecte au cadre du transpalette afin de ne pas perdre l’équilibre. Enfin, le premier juge n’a pas retenu les explications du prévenu relatives à la durée de l’opération, puisque cet argument n’était pas étayé et n’avait par ailleurs jamais été formulé avant l’audience de première instance. L’appelant fait valoir une constatation inexacte des faits et, partant, une violation de l’art. 10 al. 3 CPP. Il soutient que les faits suivants devraient être retenus :</w:t>
      </w:r>
    </w:p>
    <w:p>
      <w:r>
        <w:t>- 8 - - E.________ a été le premier à monter sur la palette afin de l’équilibrer. Constatant que son poids était insuffisant, B.________ l’a rejoint afin de faire le contre-poids et c’est lorsque les deux hommes étaient en position qu’il a effectué la manœuvre de recul avant d’abaisser les fourches ; - E.________ est resté de longues secondes, voire une bonne minute sur la palette, ce qui lui a donné suffisamment de temps pour trouver son équilibre, respectivement pour lui indiquer que tel n’était pas le cas ; le silence d’E.________ constitue la preuve qu’il se pensait correctement agrippé au transpalette et en totale sécurité pour la manœuvre ; - comme lui-même n’avait pas de visibilité sur le positionnement d’E.________ et de B.________ sur la palette, il ne pouvait réaliser la manœuvre que sur ordre de ceux-ci, de sorte qu’il n’a en aucune façon actionné le transpalette spontanément et de sa propre initiative ; - le déroulement des faits ainsi que le feu vert donné par B.________ et E.________ interrompent le lien de causalité adéquate entre son comportement incriminé et les lésions subies par le plaignant.</w:t>
      </w:r>
    </w:p>
    <w:p>
      <w:r>
        <w:rPr>
          <w:b/>
        </w:rPr>
        <w:t>E. 4.2.1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w:t>
      </w:r>
    </w:p>
    <w:p>
      <w:r>
        <w:t>- 9 - 14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w:t>
      </w:r>
    </w:p>
    <w:p>
      <w:r>
        <w:t>- 10 - mais leur force de persuasion (Verniory, Commentaire romand, Code de procédure pénale suisse, 2e éd., Bâle 2019, nn. 29 et 34 ad art. 10 CPP).</w:t>
      </w:r>
    </w:p>
    <w:p>
      <w:r>
        <w:rPr>
          <w:b/>
        </w:rPr>
        <w:t>E. 4.2.2</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La réalisation de cette infraction suppose la réunion de trois conditions : l'existence de lésions corporelles, une négligence et un lien de causalité entre la négligence et les lésions. L’application de l’art. 125 al. 2 CP suppose que la victime ait subi des lésions corporelles qui soient graves au sens de l'art. 122 CP.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Pour déterminer plus précisément les devoirs imposés par la prudence, on peut se référer à des normes édictées par l'ordre juridique pour assurer la sécurité et éviter des accidents (ATF 143 IV 138 consid. 2.1).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w:t>
      </w:r>
    </w:p>
    <w:p>
      <w:r>
        <w:t>- 11 - propre à entraîner un résultat du genre de celui qui s'est produit. Il s'agit d'une question de droit (ATF 138 IV 57 consid. 4.1.3 ; ATF 133 IV 158 consid.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consid. 4.4.2 ; TF 6B_1371/2017 du 22 mai 2018 consid. 1.4.2).</w:t>
      </w:r>
    </w:p>
    <w:p>
      <w:r>
        <w:rPr>
          <w:b/>
        </w:rPr>
        <w:t>E. 4.2.3</w:t>
      </w:r>
    </w:p>
    <w:p>
      <w:r>
        <w:t>Selon l’art. 42 OPA (ordonnance sur la prévention des accidents et des maladies professionnelles du 19 décembre 1983 ; RS 832.30), les équipements de travail destinés exclusivement au transport de marchandises ne doivent pas être utilisés pour le transport de personnes. Ils doivent, au besoin, être signalés en conséquence. Cette règle est reprise dans le support pédagogique « Neuf règles vitales pour le travail avec les chariots élévateurs » établi par la SUVA, plus spécifiquement dans la règle no 8 : « Nous n’improvisons pas », qui dispose notamment ce qui suit : « Il est interdit de soulever des personnes au moyen d’un chariot élévateur. Pour ce faire, on utilisera par</w:t>
      </w:r>
    </w:p>
    <w:p>
      <w:r>
        <w:t>- 12 - ex. des plateformes élévatrices mobiles de personnel ou des plateformes de travail. Il est également interdit de transporter des personnes au moyen d’un chariot élévateur. »</w:t>
      </w:r>
    </w:p>
    <w:p>
      <w:r>
        <w:rPr>
          <w:b/>
        </w:rPr>
        <w:t>E. 4.3.1</w:t>
      </w:r>
    </w:p>
    <w:p>
      <w:r>
        <w:t>L’argument de l’appelant selon lequel B.________ a rejoint E.________ sur la palette et non l’inverse n’est ni convaincant ni déterminant. En effet, comme l’appelant l’explique lui-même, c’est lorsque les deux hommes se trouvaient sur la palette qu’il a continué à reculer le chariot afin de sortir entièrement la palette du camion (mémoire d’appel, p. 4 in fine). Il semble donc logique que le plaignant – et B.________ – étaient tous deux en train d’équilibrer la palette et d’assurer leur propre équilibre lorsque l’appelant effectuait sa manœuvre de recul et donc tout aussi logique que le plaignant était en train de se tenir à l’arche du transpalette pour ce faire. Par conséquent, il y a lieu de retenir, comme dans l’acte d’accusation, que les deux hommes se trouvaient sur la palette lorsque l’appelant a abaissé les fourches. Le moyen de l’appelant selon lequel il n’aurait abaissé les fourches que sur les instructions verbales d’E.________ et de B.________ ne saurait être suivi. Les versions des parties sont contradictoires puisque le plaignant soutient que lui ou B.________ n’ont jamais dit à l’appelant qu’il pouvait descendre les fourches. Cela dit, comme relevé par le premier juge, si l’appelant a réellement attendu le feu vert du plaignant et de B.________ pour pouvoir abaisser les fourches, on ne saisit alors pas pourquoi le plaignant aurait donné un tel accord alors qu’il avait encore ses doigts dans le mécanisme de l’engin. Comme l’appelant l’expose, le plaignant était une personne aguerrie à ce type de manipulation et qui savait se prévenir du danger (mémoire d’appel, p. 8), de sorte qu’on peut en déduire que le plaignant n’aurait jamais annoncé son accord verbal pour la descente des fourches alors qu’il avait encore ses doigts dans l’arche du transpalette. L’acte d’accusation doit par conséquent être confirmé en ce sens que l’appelant a descendu les fourches sans s’assurer que sa manœuvre était sans danger pour les deux hommes qui se</w:t>
      </w:r>
    </w:p>
    <w:p>
      <w:r>
        <w:t>- 13 - trouvaient sur la palette et alors que le plaignant se tenait encore, avec sa main droite, au transpalette au niveau d'une pièce en forme d'arche. Enfin, l’appelant n’a jamais quantifié la durée totale de l’opération jusqu’aux débats de première instance, si bien qu’il n’était nullement arbitraire de ne pas retenir cet élément. De toute manière, cela n’a aucune incidence sur l’appréciation des preuves et l’examen des éléments constitutifs de l’infraction reprochée. Vu ces éléments, le Tribunal de police n’a procédé à aucune constatation erronée ou incomplète des faits et n’a pas violé l’art. 10 al. 3 CPP.</w:t>
      </w:r>
    </w:p>
    <w:p>
      <w:r>
        <w:rPr>
          <w:b/>
        </w:rPr>
        <w:t>E. 4.3.2</w:t>
      </w:r>
    </w:p>
    <w:p>
      <w:r>
        <w:t>L’appelant considère que le lien de causalité adéquate est rompu, mais sur la base d’un état de fait qui n’est pas celui retenu. En l’occurrence, c’est l’appelant qui a toléré la présence des deux hommes sur son chariot élévateur alors que cet engin était uniquement destiné au transport de marchandises. C’est également l’appelant qui a baissé les fourches sans s’assurer de l’accord verbal de son collègue et du plaignant et tandis que ce dernier était encore train d’assurer l’équilibre de la charge et son propre équilibre en se tenant à l’arche du transpalette. Le comportement de l’appelant est d’autant plus fautif qu’il admet qu’il n’a rien vu de ce qui s’était passé car la vitre du transpalette était complètement opaque (jgt, p. 4) et qu’il n’avait aucune visibilité sur l’arche et sur la position des deux hommes en raison d’une bordure noire (P. 21, lignes 51 ss ; mémoire d’appel, p. 3 in fine). En outre, le témoin B.________ a expliqué qu’avant de décharger la neuvième palette, le prévenu, le plaignant et lui-même avaient déjà effectué une fois cette manipulation pour stabiliser une autre palette et que tout s’était très bien déroulé. Le comportement du plaignant, qui certes n’aurait pas dû monter sur la palette, n’a donc été ni aberrant ni d'une imprévisibilité telle que cela relèguerait à l’arrière-plan le comportement de l’appelant et interromprait le lien de causalité adéquate entre la négligence de ce dernier et les lésions corporelles graves survenues. Partant, c’est à bon</w:t>
      </w:r>
    </w:p>
    <w:p>
      <w:r>
        <w:t>- 14 - droit que le Tribunal de police a retenu que l’appelant devait être reconnu coupable de lésions corporelles grave par négligence.</w:t>
      </w:r>
    </w:p>
    <w:p>
      <w:r>
        <w:rPr>
          <w:b/>
        </w:rPr>
        <w:t>E. 5</w:t>
      </w:r>
    </w:p>
    <w:p>
      <w:r>
        <w:t>L’appelant ne critique pas la quotité de la peine pécuniaire et de l’amende. Vérifiées d’office, celles-ci sont adéquates et peuvent être approuvées par adoption de motifs (art. 82 al. 4 CPP ; jgt, pp. 18-19).</w:t>
      </w:r>
    </w:p>
    <w:p>
      <w:r>
        <w:rPr>
          <w:b/>
        </w:rPr>
        <w:t>E. 6</w:t>
      </w:r>
    </w:p>
    <w:p>
      <w:r>
        <w:t>Il résulte de ce qui précède que l’appel de X.________ doit être rejeté et le jugement entrepris confirmé. Les frais d’appel, par 1’430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