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PE20.014277 vom 1. Juni 2021</w:t>
      </w:r>
    </w:p>
    <w:p>
      <w:r>
        <w:t>VD Tribunal cantonal, 2021-06-01, FR</w:t>
      </w:r>
    </w:p>
    <w:p>
      <w:r>
        <w:rPr>
          <w:b/>
        </w:rPr>
        <w:t xml:space="preserve">Quelle: </w:t>
      </w:r>
      <w:r>
        <w:t>https://mcp.opencaselaw.ch/entscheid/vd_gerichte_PE20.014277</w:t>
      </w:r>
    </w:p>
    <w:p>
      <w:r>
        <w:t>FR: VD_GERICHTE PE20.014277 du 1 juin 2021</w:t>
      </w:r>
    </w:p>
    <w:p>
      <w:r>
        <w:t>IT: VD_GERICHTE PE20.014277 del 1 giugno 2021</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de L.________ est recevable.</w:t>
      </w:r>
    </w:p>
    <w:p>
      <w:r>
        <w:rPr>
          <w:b/>
        </w:rPr>
        <w:t>E. 1.2</w:t>
      </w:r>
    </w:p>
    <w:p>
      <w:r>
        <w:t>; TF 6B_952/2019 du 11 décembre 2019 consid. 2.1).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- 11 -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3.1</w:t>
      </w:r>
    </w:p>
    <w:p>
      <w:r>
        <w:t>L’appelant conteste sa condamnation pour lésions corporelles simples qualifiées. Il soutient que le premier juge aurait dû retenir sa version des faits, à savoir qu’il n’aurait jamais été violent envers N.________. Il se prévaut d’une lettre que celle-ci a adressée le 9 juin 2021 à son défenseur et qu’il a produite à l’appui de sa déclaration d’appel (P. 28/4). Dans cette lettre, N.________ explique en anglais qu’il y aurait eu un malentendu, que le prévenu ne se serait jamais montré violent physiquement, que leur conflit n’aurait été que verbal, que ses blessures auraient résulté de ses propres mouvements pour se libérer des bras de l’appelant qui tentait de la calmer et que c’est l’anxiété dont elle souffrait lors de sa grossesse qui l’aurait conduite à appeler la police le 11 août 2020. Cette lettre s’ajoutant à ses rétractations précédentes, l’appelant soutient que la version d’N.________ ne serait dès lors pas crédible, alors que, pour sa part, il aurait toujours été constant dans ses déclarations et que les pièces au dossier démontreraient qu’il aurait été lui-même victime de violences physiques et psychologiques de la part de sa compagne. L’appelant se prévaut également du fait qu’après s’être à nouveau retractée devant le Ministère public le 15 mars 2021, N.________ a été condamnée le 9 juillet 2021 pour dénonciation calomnieuse pour avoir faussement accusé le prévenu de l’avoir poussée et frappée alors qu’elle était enceinte, le 31 décembre 2020 (P. 34/1).</w:t>
      </w:r>
    </w:p>
    <w:p>
      <w:r>
        <w:rPr>
          <w:b/>
        </w:rPr>
        <w:t>E. 3.2</w:t>
      </w:r>
    </w:p>
    <w:p>
      <w:r>
        <w:t>L'art. 10 CPP dispose que toute personne est présumée innocente tant qu'elle n'est pas condamnée par un jugement entré en</w:t>
      </w:r>
    </w:p>
    <w:p>
      <w:r>
        <w:t>- 12 -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w:t>
      </w:r>
    </w:p>
    <w:p>
      <w:r>
        <w:t>- 13 -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n. 34 ad art. 10 CPP).</w:t>
      </w:r>
    </w:p>
    <w:p>
      <w:r>
        <w:rPr>
          <w:b/>
        </w:rPr>
        <w:t>E. 3.3</w:t>
      </w:r>
    </w:p>
    <w:p>
      <w:r>
        <w:t>Le premier juge a apprécié de manière circonstanciée les éléments probants du dossier (pp. 8 à 10), en libérant le prévenu pour les faits des cas 1 et 3 de l’ordonnance pénale du 10 décembre 2020, au bénéfice de la présomption d’innocence, et en ne retenant que les faits du cas 2, soit ceux qui se sont déroulés le 11 août 2020, en se fondant sur le rapport établi par Police-Secours le 12 août 2020 (P. 4/1) ainsi que sur les photos des lésions de la victime figurant au dossier (P. 4/2 à 4/6). Cette appréciation est adéquate. Il faut d’emblée relever qu’N.________ a également été condamnée pour les faits du 11 août 2020, mais qu’elle n’a pas fait opposition à l’ordonnance pénale précitée. Le premier juge n’a d’ailleurs pas perdu de vue qu’elle avait également agressé le prévenu ce jour-là, mais a retenu que cette altercation était terminée et que l’appelant s’en était pris à sa compagne dans le cadre d’une nouvelle dispute. Il a considéré à juste titre que si les griffures sur le corps d’N.________ pouvaient éventuellement s’expliquer par la défense du prévenu, il n’en allait pas de même de l’importante marque qu’elle avait présenté sur le cou (P. 4/4). Le rapport d’intervention précise d’ailleurs que l’aide de la police a été sollicitée par N.________ (P. 4/1, p. 3), qui a expliqué aux agents qu’elle avait été poussée au sol et maintenue de force (ibidem, p. 4). Les nombreuses rétractations ultérieures de la victime, dont celle contenue dans la lettre du 9 juin 2021, ne convainquent pas. En effet, comme l’a relevé le premier juge, N.________ ne veut plus dire toute la vérité compte tenu des liens qui subsistent avec le prévenu en raison de leur enfant commun.</w:t>
      </w:r>
    </w:p>
    <w:p>
      <w:r>
        <w:t>- 14 - C’est donc à bon droit que le premier juge a retenu une altercation entre le prévenu et sa compagne dans le cadre de laquelle le prévenu lui avait infligé des lésions corporelles qui ne se bornaient pas à sa défense. La condamnation pour lésions corporelles simples qualifiées doit ainsi être confirmée.</w:t>
      </w:r>
    </w:p>
    <w:p>
      <w:r>
        <w:rPr>
          <w:b/>
        </w:rPr>
        <w:t>E. 4</w:t>
      </w:r>
    </w:p>
    <w:p>
      <w:r>
        <w:t>L’appelant ne conteste pas en tant que telle la peine qui lui a été infligée. Examinée d’office, la Cour d’appel considère que celle-ci a été fixée en application des critères légaux et conformément à la culpabilité et à la situation personnelle de L.________. Il peut dès lors être renvoyé à cet égard à la motivation du jugement attaqué (p. 10 ; art. 82 al. 4 CPP), qui est complète et convaincante. La peine pécuniaire de 50 jours-amende à 30 fr., avec sursis pendant 2 ans, adéquate tant dans sa forme que dans sa quotité, doit donc être confirmée.</w:t>
      </w:r>
    </w:p>
    <w:p>
      <w:r>
        <w:rPr>
          <w:b/>
        </w:rPr>
        <w:t>E. 5</w:t>
      </w:r>
    </w:p>
    <w:p>
      <w:r>
        <w:t>L’appelant conclut à ce que l’entier des frais de justice soit laissé à la charge de l’Etat. Dès lors que cette conclusion repose sur la prémisse de l’admission de son appel, elle doit être rejetée.</w:t>
      </w:r>
    </w:p>
    <w:p>
      <w:r>
        <w:rPr>
          <w:b/>
        </w:rPr>
        <w:t>E. 6</w:t>
      </w:r>
    </w:p>
    <w:p>
      <w:r>
        <w:t>En définitive, l’appel de L.________ doit être rejeté et le jugement entrepris intégralement confirmé. Selon la liste d’opérations produite, dont il n’y a pas lieu de s’écarter, une indemnité pour la procédure d’appel d’un montant de 2'214 fr. 75, TVA et débours inclus, sera allouée au défenseur d’office de l’appelant.</w:t>
      </w:r>
    </w:p>
    <w:p>
      <w:r>
        <w:t>- 15 - Vu l'issue de la cause, les frais de la procédure d'appel, par 3'494 fr. 75, constitués de l'émolument du présent jugement, par 1’280 fr. (art. 21 al. 1 et 2 TFIP), ainsi que de l’indemnité allouée au défenseur d’office de L.________, seront mis à la charge de l’appelant, qui succombe (art. 428 al. 1 CPP). L.________ ne sera tenu de rembourser à l’Etat le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