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PE20.013751 vom 16. November 2022</w:t>
      </w:r>
    </w:p>
    <w:p>
      <w:r>
        <w:t>VD Tribunal cantonal, 2022-11-16, FR</w:t>
      </w:r>
    </w:p>
    <w:p>
      <w:r>
        <w:rPr>
          <w:b/>
        </w:rPr>
        <w:t xml:space="preserve">Quelle: </w:t>
      </w:r>
      <w:r>
        <w:t>https://mcp.opencaselaw.ch/entscheid/vd_gerichte_PE20.013751</w:t>
      </w:r>
    </w:p>
    <w:p>
      <w:r>
        <w:t>FR: VD_GERICHTE PE20.013751 du 16 novembre 2022</w:t>
      </w:r>
    </w:p>
    <w:p>
      <w:r>
        <w:t>IT: VD_GERICHTE PE20.013751 del 16 novembre 2022</w:t>
      </w:r>
    </w:p>
    <w:p>
      <w:pPr>
        <w:pStyle w:val="Heading2"/>
      </w:pPr>
      <w:r>
        <w:t>Erwägungen</w:t>
      </w:r>
    </w:p>
    <w:p>
      <w:r>
        <w:rPr>
          <w:b/>
        </w:rPr>
        <w:t>E. 4</w:t>
      </w:r>
    </w:p>
    <w:p>
      <w:r>
        <w:t>L’appelant se plaint d’une violation des art. 426 et 429 CPP.</w:t>
      </w:r>
    </w:p>
    <w:p>
      <w:r>
        <w:rPr>
          <w:b/>
        </w:rPr>
        <w:t>E. 4.1.1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- 18 -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4.1.2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w:t>
      </w:r>
    </w:p>
    <w:p>
      <w:r>
        <w:t>- 19 -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4.2</w:t>
      </w:r>
    </w:p>
    <w:p>
      <w:r>
        <w:t>Dans le cas présent, s’agissant des frais de la procédure de première instance, il y a lieu de constater que l’appelant est à l’origine de l’ouverture de ladite procédure. Il a, en effet, été négligeant en ne renouvelant pas son permis de conduire international qui était échu depuis le 4 mai 2021. Ce comportement est ainsi propre à justifier l'imputation de l’entier des frais de la procédure de première instance. Partant, c'est à juste titre que l’entier des frais de procédure ont été mis à la charge de K.________. Il n’avait dès lors pas davantage droit à une indemnité au sens de l'art. 429 CPP.</w:t>
      </w:r>
    </w:p>
    <w:p>
      <w:r>
        <w:rPr>
          <w:b/>
        </w:rPr>
        <w:t>E. 5</w:t>
      </w:r>
    </w:p>
    <w:p>
      <w:r>
        <w:t>En définitive, l’appel est partiellement admis et le jugement de première instance réformé dans le sens des considérants. Vu l'issue de la cause, les frais de la procédure d'appel, par 2’240 fr. constitués en l’espèce du seul émolument d’arrêt (art. 21 al. 1 et 2 TFIP [Tarif des frais de procédure et indemnités en matière pénale du 28 septembre 2010 ; BLV 312.03.1]), seront mis par un quart à la charge de K.________, soit 560 fr., le solde étant laissé à la charge de l’Etat.</w:t>
      </w:r>
    </w:p>
    <w:p>
      <w:r>
        <w:t>- 20 - L’appelant, qui obtient partiellement gain de cause et qui a procédé avec l’assistance d’un mandataire professionnel, requiert l’octroi d’une indemnité de 11'116 fr. 15, TVA incluse, au titre de l’art. 429 CPP, pour la procédure d’appel. L’appelant a produit une note d’honoraires de son défenseur pour les opérations de la procédure d’appel, faisant état d’une activité de 28.56 heures au tarif horaire de 360 francs. Tant la durée annoncée que le tarif appliqué - dédié aux causes nécessitant des connaissances particulières, ce qui n’est pas le cas en l’espèce - sont disproportionnés au vu de la nature de l’affaire. On retiendra 1h30 d’entretien avec l’appelant – en lieu et place des 2h30 alléguées les 27, 28 septembre, 3 octobre et 14 novembre 2022. On retranchera le temps annoncé (30 minutes) consacré à la réalisation d’un bordereau de pièces, qui relève du travail de secrétariat, ainsi que le temps allégué au titre de vacation (1.50 heures) qui doit être rémunéré au tarif forfaitaire de 120 francs. On tiendra compte de 30 minutes (en lieu et place de 1.50 heures annoncées) pour les activités consécutives à l’audience d’appel. De même, il n’y a pas lieu de tenir compte du temps allégué à des entretiens avec Me d’Avila Bendayan, dont on ignore la raison des interventions. C’est ainsi une activité de 12 heures et 50 minutes qui doit être admise. En l’absence de difficulté juridique et au vu de l’enjeux limité du litige, le jugement entrepris ayant été rendu par un juge unique, on appliquera un tarif horaire de 250 fr. (art. 26a al. 3 TFIP). Les honoraires s’élèvent dès lors à 3'200 fr., montant auquel il convient d’ajouter 64 fr. de débours, 120 fr. de vacation et 260 fr. 60 de TVA sur le tout. C’est en définitive une indemnité de 3'644 fr. 55, réduite d’un quart, par 2'733 fr. 40 au total, qu’il convient d’allouer à l’appelant au titre de l’art. 429 CPP pour la procédure d’appel, à la charge de l’Etat. Conformément à l’art. 442 al. 4 CPP, l’indemnité due à l’appelant pour ses frais de défense en deuxième instance, par 2'733 fr. 40, sera compensée avec les frais de justice de première instance mis à sa charge, par 3'580 fr., le solde dû par l’appelant à l’Etat étant de 846 fr. 60.</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