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PE20.013403 vom 5. Oktober 2023</w:t>
      </w:r>
    </w:p>
    <w:p>
      <w:r>
        <w:t>VD Tribunal cantonal, 2023-10-05, FR</w:t>
      </w:r>
    </w:p>
    <w:p>
      <w:r>
        <w:rPr>
          <w:b/>
        </w:rPr>
        <w:t xml:space="preserve">Quelle: </w:t>
      </w:r>
      <w:r>
        <w:t>https://mcp.opencaselaw.ch/entscheid/vd_gerichte_PE20.013403</w:t>
      </w:r>
    </w:p>
    <w:p>
      <w:r>
        <w:t>FR: VD_GERICHTE PE20.013403 du 5 octobre 2023</w:t>
      </w:r>
    </w:p>
    <w:p>
      <w:r>
        <w:t>IT: VD_GERICHTE PE20.013403 del 5 ottobre 2023</w:t>
      </w:r>
    </w:p>
    <w:p>
      <w:pPr>
        <w:pStyle w:val="Heading2"/>
      </w:pPr>
      <w:r>
        <w:t>Erwägungen</w:t>
      </w:r>
    </w:p>
    <w:p>
      <w:r>
        <w:rPr>
          <w:b/>
        </w:rPr>
        <w:t>E. 5</w:t>
      </w:r>
    </w:p>
    <w:p>
      <w:r>
        <w:t>- 25 -</w:t>
      </w:r>
    </w:p>
    <w:p>
      <w:r>
        <w:rPr>
          <w:b/>
        </w:rPr>
        <w:t>E. 5.1</w:t>
      </w:r>
    </w:p>
    <w:p>
      <w:r>
        <w:t>L’appelante conteste encore l’acquittement du prévenu du chef de prévention de lésions corporelles graves en lien avec le cas B.4 ci- dessus et soutient que les lésions seraient graves tant en raison des atteintes physiques que des atteintes psychiques subies. Sur le plan physique, elle se prévaut d’un décollement du vitré de l’œil gauche, d’une perforation du tympan gauche et de la fracture d’une incisive, lésions qui ont fait l’objet de plusieurs constats médicaux. Sur le plan psychique, elle se prévaut de troubles anxieux et du sommeil, de pertes de mémoire, de crises d’angoisse liées à la remémoration des scènes de violence, d’idées suicidaires nécessitant des hospitalisations et d’un état d’alerte permanent. Elle soutient que l’ensemble de ce tableau lésionnel serait imputable au prévenu et que ces lésions, prises dans leur ensemble, seraient incontestablement graves.</w:t>
      </w:r>
    </w:p>
    <w:p>
      <w:r>
        <w:rPr>
          <w:b/>
        </w:rPr>
        <w:t>E. 5.2</w:t>
      </w:r>
    </w:p>
    <w:p>
      <w:r>
        <w:t>Des lésions corporelles sont graves, notamment, si l’auteur a causé intentionnellement une incapacité de travail, une infirmité ou une maladie mentale permanente (art. 122 al. 2 CP). Dans tous les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6B_922/2018 du 9 janvier 2020 consid. 4.1.2 ; TF 6B_422/2019 du 5 juin 2019 consid. 5.1).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w:t>
      </w:r>
    </w:p>
    <w:p>
      <w:r>
        <w:t>- 26 - combinaison de critères liés à l’importance des souffrances endurées, à la complexité et à la longueur du traitement (multiplicité d’interventions chirurgicales), à la durée de la guérison, respectivement de l’arrêt de travail, ou encore à l’impact sur la qualité de vie en général (TF 6b_422/2019 précité consid. 5.1 et les réf. citées). La notion de lésions corporelles graves au sens de l’art. 122 CP constitue une notion juridique indéterminée soumise à interprétation. Selon la jurisprudence, le fait de porter des coups à la tête avec les poings, les pieds ou des objets dangereux est susceptible d’entraîner de graves lésions et même la mort de la victime, ce risque étant d’autant plus grand lorsque par exemple celle-ci gît au sol sans être en mesure de réagir ou de se défendre, notamment lorsqu’elle est inconsciente (ATF 135 IV 152 consid. 2.3.2.2 ; TF 6B_111/2021 du 29 septembre 2021 consid. 3.2.3 ; TF 6B_139/2020 du 1er mai 2020 consid. 2.3 ; TF 6B_1385/2019 du 27 février 2020 consid. 4 ; TF 6B_924/2017 du 14 mars 2018 consid. 1.3.1). De même, les circonstances concrètes du cas, parmi lesquelles figurent la violence des coups portés et la constitution de la victime, sont particulièrement déterminantes au moment de qualifier juridiquement les lésions corporelles (TF 6B_111/2021 précité consid. 3.2.3 ; TF 6B_138/2020 du 18 mars 2021 consid. 2.3 ; TF 6B_388/2012 du 12 novembre 2012 consid. 2.1.1 et 2.4).</w:t>
      </w:r>
    </w:p>
    <w:p>
      <w:r>
        <w:rPr>
          <w:b/>
        </w:rPr>
        <w:t>E. 5.3</w:t>
      </w:r>
    </w:p>
    <w:p>
      <w:r>
        <w:t>C’est d’abord en vain que l’appelante revient sur les lésions physiques les plus graves qu’elle a subies et qui ne sont pas, comme on l’a vu (cf. supra consid. 3.3.2), imputables avec suffisamment de certitude au prévenu, même si, comme on l’a également dit, la violence physique de celui-ci a été répétée et importante. Dans le tableau lésionnel, il faut donc faire abstraction d’un décollement du vitré de l’œil gauche, d’une perforation du tympan gauche et de la fracture d’une incisive, faute d’un lien de causalité suffisamment établi avec le comportement du prévenu. Reste donc les lésions d’ordre psychique. S’il est incontestable que la violence du prévenu a provoqué une péjoration importante de l’état psychique de la plaignante, il est en revanche très difficile de faire la part des choses avec les pathologies psychiques préexistantes et les</w:t>
      </w:r>
    </w:p>
    <w:p>
      <w:r>
        <w:t>- 27 - problèmes de dépendance à l’alcool et aux stupéfiants de P.________. Ainsi, les idées suicidaires et les décompensations psychiques avec hospitalisation ne peuvent pas être imputées exclusivement au comportement du prévenu. En revanche, il est certain que les séquelles post-traumatiques, telles que les troubles anxieux, les troubles du sommeil et les crises d’angoisse liées à la remémoration des scènes de violence sont imputables à la violence du prévenu. Elles ne constituent toutefois pas en elles-mêmes des lésions corporelles d’une gravité suffisante pour faire application de l’art. 122 CP. Quoi qu’il en soit, il n’est pas suffisamment établi non plus que le prévenu, dont les capacités cognitives sont limitées, ait pu avoir pleinement conscience de telles conséquences, de sorte que le caractère intentionnel d’une éventuelle infraction à l’art. 122 CP fait de toute manière défaut. L’infraction de lésions corporelles graves ne peut dès lors pas être retenue à l’encontre du prévenu.</w:t>
      </w:r>
    </w:p>
    <w:p>
      <w:r>
        <w:rPr>
          <w:b/>
        </w:rPr>
        <w:t>E. 6.1</w:t>
      </w:r>
    </w:p>
    <w:p>
      <w:r>
        <w:t>L’appelante conteste ensuite l’acquittement dont a bénéficié le prévenu du chef de prévention de contrainte sexuelle, s’agissant du cas B.6 ci-dessus. Elle fait valoir que, contrairement à ce qu’ont retenu les premiers juges, il serait établi qu’elle a été contrainte de faire des fellations au prévenu et que ce dernier a bien perçu son opposition. Elle prétend que, de toute manière, il savait qu’elle avait peur de lui et n’osait pas résister.</w:t>
      </w:r>
    </w:p>
    <w:p>
      <w:r>
        <w:rPr>
          <w:b/>
        </w:rPr>
        <w:t>E. 6.2</w:t>
      </w:r>
    </w:p>
    <w:p>
      <w:r>
        <w:t>Conformément à l’art. 189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w:t>
      </w:r>
    </w:p>
    <w:p>
      <w:r>
        <w:t>- 28 -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précité consid. 2.2.3 et les réf. citées).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w:t>
      </w:r>
    </w:p>
    <w:p>
      <w:r>
        <w:t>- 29 - déterminantes (ATF 148 IV 234 consid. 3.3 ; TF 6B_127/2023 précité consid. 2.2.3 et les réf. citées).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2.2.4 et les réf. citées).</w:t>
      </w:r>
    </w:p>
    <w:p>
      <w:r>
        <w:rPr>
          <w:b/>
        </w:rPr>
        <w:t>E. 6.3</w:t>
      </w:r>
    </w:p>
    <w:p>
      <w:r>
        <w:t>En l’occurrence, les premiers juges ont considéré que la plaignante avait dénoncé relativement tardivement les actes de contrainte sexuelle et qu’elle avait déclaré être d’accord sur le principe avec les rapports buccaux, mais qu’elle ne pouvait faire des fellations que partiellement, dans la mesure où elle n’arrivait pas à ouvrir correctement la bouche. Elle a également précisé (PV aud. 12, I. 368 et 369) que, si elle se dégageait ou disait clairement au prévenu que cela suffisait, il n’insistait pas. Sur cette base, le tribunal a estimé que l’élément de contrainte n’était pas suffisamment caractérisé et qu’il n’était pas non plus établi que le prévenu ait pu percevoir le refus de sa compagne. En l’espèce, cette appréciation est adéquate et doit être confirmée. En effet, elle se fonde sur les propres déclarations de la plaignante. A cet égard, elle a indiqué consentir aux fellations demandées par le prévenu et avoir ressenti des douleurs en raison de points de suture à la lèvre, mais aussi que les rapports buccaux cessaient lorsqu’elle faisait clairement part de son refus à D.________. Il est vrai qu’elle a également déclaré que le prévenu savait qu’il lui faisait mal et qu’elle ne voulait pas et qu’elle avait été frappée, mais pas lors des fellations (ibidem, I. 377 et 378). Les déclarations de la plaignante ne permettent donc pas de retenir</w:t>
      </w:r>
    </w:p>
    <w:p>
      <w:r>
        <w:t>- 30 - un acte de contrainte durant l’acte d’ordre sexuel. Enfin, c’est en vain que l’appelante fait valoir qu’elle aurait été d’une manière constante dans l’incapacité de se défendre en raison de la violence physique de son compagnon, dès lors que cette situation n’est pas décrite dans l’acte d’accusation qui fait état de fellations « complètes » à quatre ou cinq reprises, en décrivant que le prévenu maintenait la tête de la plaignante de force. Au vu de ces éléments, l’infraction de contrainte sexuelle ne peut pas être retenue.</w:t>
      </w:r>
    </w:p>
    <w:p>
      <w:r>
        <w:rPr>
          <w:b/>
        </w:rPr>
        <w:t>E. 7</w:t>
      </w:r>
    </w:p>
    <w:p>
      <w:r>
        <w:t>L’appelante fait valoir qu’en toute hypothèse la culpabilité du prévenu serait lourde et revient sur des éléments de cette culpabilité, alors que cette question ne peut toutefois pas constituer un grief recevable pour la plaignante, en vertu l’art. 382 al. 2 CPP. Quoi qu’il en soit, les premiers juges ont retenu une culpabilité relativement lourde, laquelle doit être confirmée en appel.</w:t>
      </w:r>
    </w:p>
    <w:p>
      <w:r>
        <w:rPr>
          <w:b/>
        </w:rPr>
        <w:t>E. 8.1</w:t>
      </w:r>
    </w:p>
    <w:p>
      <w:r>
        <w:t>L’appelante fait enfin valoir que le tort moral alloué par les premiers juges serait insuffisant.</w:t>
      </w:r>
    </w:p>
    <w:p>
      <w:r>
        <w:rPr>
          <w:b/>
        </w:rPr>
        <w:t>E. 8.2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w:t>
      </w:r>
    </w:p>
    <w:p>
      <w:r>
        <w:t>- 31 - souffrance ou d’incapacité de travail, de même que les préjudices psychiques importants (TF 6B_1335/2021 du 21 décembre 2022 consid. 2.2.1 ; TF 6B_1387/2021 du 29 septembre 2022 consid. 5.1 ; voir aussi ATF 141 Ill 97 consid. 11.2 ; ATF 132 II 117 consid. 2.2.2).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précité consid. 2.2.2 ; ATF 125 III 412 consid. 2a ; TF 4A_373/2007 du 8 janvier 2008 consid. 3.2, non publié in ATF 134 III 97).</w:t>
      </w:r>
    </w:p>
    <w:p>
      <w:r>
        <w:rPr>
          <w:b/>
        </w:rPr>
        <w:t>E. 8.3</w:t>
      </w:r>
    </w:p>
    <w:p>
      <w:r>
        <w:t>Le montant alloué par les premiers juges – représentant les 5’000 fr. que le prévenu a déclaré être prêt à se reconnaître débiteur pour réparer le tort moral infligé à P.________ lors de l’audience de première instance – est adéquat et doit être confirmé. Celui-ci correspond à une réparation adéquate, autant que faire se peut, de souffrances endurées par les coups du prévenu et de l’important stress post-traumatique provoqué par cette violence, ainsi que des atteintes à la personnalité que le prévenu a causé par ses multiples infractions.</w:t>
      </w:r>
    </w:p>
    <w:p>
      <w:r>
        <w:rPr>
          <w:b/>
        </w:rPr>
        <w:t>E. 9</w:t>
      </w:r>
    </w:p>
    <w:p>
      <w:r>
        <w:t>En définitive, l’appel de P.________ doit être rejeté et le jugement entrepris confirmé. Sur la base de la liste d’opérations produite par Me Alain Pichard, conseil juridique gratuit de P.________, dont il n’y a pas lieu de s’écarter, il s’ensuit que son indemnité doit être arrêtée à 6’263 fr. 80 au total. Au tarif horaire de 180 fr. pour l’avocat breveté (art. 2 al. 1 let. a RAJ [règlement du 7 décembre 2010 sur l’assistance judiciaire en matière</w:t>
      </w:r>
    </w:p>
    <w:p>
      <w:r>
        <w:t>- 32 - civile ; BLV 211.02.3], applicable par renvoi de l’art. 26b TFIP [tarif des frais de procédure et indemnités en matière pénale du 28 septembre 2010 ; BLV 312.03.1]), l’indemnité allouée à Me Alain Pichard doit être fixée, pour les opérations effectuées jusqu’au 31 décembre 2023, à 4’992 fr. 85, soit 4’545 fr. (25.25h x 180 fr.) à titre d’honoraires, 90 fr. 90 (2 % [art. 3bis al. 1 RAJ]) de débours forfaitaires et 356 fr. 95 (7.7 %) de TVA sur le tout (art. 2 al. 3 RAJ ; art. 25 al. 1 LTVA [Loi fédérale du 12 juin 2009 régissant la taxe sur la valeur ajoutée ; RS 641.20]) et, pour les opérations effectuées depuis le 1er janvier 2024, à 1’270 fr. 95, soit 1’035 fr. (5.75h x 180 fr.) à titre d’honoraires, 20 fr. 70 (2 %) de débours forfaitaires, 120 fr. de vacation et 95 fr. 25 (8.1 %) de TVA sur le tout. Sur la base de la liste d’opérations produite par Me Pascale Genton, défenseur d’office de D.________ – dont il y a lieu de réduire à 3 heures les opérations en lien avec les postes « Etude du dossier, recherches juridiques et préparation plaidoirie audience débats », comptabilisées les 3 et 5 mai 2024 à 9 heures au total au tarif horaire de l’avocat-stagiaire, en raison de la nature du dossier et des opérations déjà comptabilisées à ce titre, de même que le temps de l’audience à 45 minutes au lieu des 2 heures et 30 minutes estimées – son indemnité doit être arrêtée à 2’006 fr. 65 au total. En effet, au tarif horaire de 180 fr. pour l’avocat breveté et de 110 fr. pour l’avocat-stagiaire (art. 2 al. 1 let. a et b RAJ, applicable par renvoi de l’art. 26b TFIP), l’indemnité allouée à Me Pascale Genton doit être fixée, pour les opérations effectuées jusqu’au 31 décembre 2023, à 316 fr. 40, soit 288 fr. (1.6h x 180 fr.) à titre d’honoraires, 5 fr. 75 (2 % [art. 3bis al. 1 RAJ]) de débours forfaitaires et 22 fr. 65 (7.7 %) de TVA sur le tout (art. 2 al. 3 RAJ ; art. 25 al. 1 LTVA) et, pour les opérations effectuées depuis le 1er janvier 2024, à 1’690 fr. 25, soit 1’454 fr. 50 ([3.1h x 180 fr.] + [8.15 x 110 fr.]) à titre d’honoraires, 29 fr. 10 (2 %) de débours forfaitaires, 80 fr. de vacation et 126 fr. 65 (8.1 %) de TVA sur le tout. En équité, les frais de deuxième instance, totalisant 11’420 fr. 45 – constitués des émoluments de jugement et d’audience, par 3’150 fr. (art. 21 al. 1 et 2 TFIP), ainsi que des indemnités allouées au défenseur</w:t>
      </w:r>
    </w:p>
    <w:p>
      <w:r>
        <w:t>- 33 - d’office, par 2’006 fr. 65, et au conseil juridique gratuit, par 6’263 fr. 80 –, seront exceptionnellement laissés à la charge de l’Etat (art. 423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