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PE20.013369 vom 19. November 2020</w:t>
      </w:r>
    </w:p>
    <w:p>
      <w:r>
        <w:t>VD Tribunal cantonal, 2020-11-19, FR</w:t>
      </w:r>
    </w:p>
    <w:p>
      <w:r>
        <w:rPr>
          <w:b/>
        </w:rPr>
        <w:t xml:space="preserve">Quelle: </w:t>
      </w:r>
      <w:r>
        <w:t>https://mcp.opencaselaw.ch/entscheid/vd_gerichte_PE20.013369</w:t>
      </w:r>
    </w:p>
    <w:p>
      <w:r>
        <w:t>FR: VD_GERICHTE PE20.013369 du 19 novembre 2020</w:t>
      </w:r>
    </w:p>
    <w:p>
      <w:r>
        <w:t>IT: VD_GERICHTE PE20.013369 del 19 novembre 2020</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a été interjeté en temps utile, auprès de l’autorité compétente, par la partie plaignante qui a qualité pour recourir (art. 382 al. 1 CPP). Autre est la question de savoir s’il a été établi dans les formes prescrites.</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2e éd., Bâle 2014, n. 1a ad art. 385 CPP).</w:t>
      </w:r>
    </w:p>
    <w:p>
      <w:r>
        <w:t>- 6 - Le recourant doit ensuite énoncer « les motifs qui commandent une autre décision » (art. 385 al. 1 let. b CPP), à savoir les arguments, de fait ou de droit, sur lesquels il prétend se fonder pour faire modifier la décision en sa faveur (Pitteloud, op. et loc. cit.;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 Kuhn/Perrier Depeursinge [éd.], Code de procédure pénale suisse, Commentaire romand, 2e éd., Bâle 2019, n. 20 ad art. 385 CPP). Les motifs au sens de l'art. 385 al. 1 let. b CPP doivent être étayés par le recourant sous l'angle des faits et du droit (TF 6B_510/2020 du 15 septembre 2020 consid. 2.2; TF 1B_472/2019 du 29 octobre 2019 consid. 3.1; TF 6B_120/2016 du 20 juin 2016 consid. 3.1).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TF 1B_232/2017 du 19 juillet 2017 consid. 2.4.3; TF 6B_347/2016 du 10 février 2017 consid. 4.1; TF 1B_363/2014 du 7 janvier 2015 consid. 2.1 et les réf. citées; TF 6B_872/2013 du 17 octobre 2013 consid. 3).</w:t>
      </w:r>
    </w:p>
    <w:p>
      <w:r>
        <w:rPr>
          <w:b/>
        </w:rPr>
        <w:t>E. 2</w:t>
      </w:r>
    </w:p>
    <w:p>
      <w:r>
        <w:t>- 7 -</w:t>
      </w:r>
    </w:p>
    <w:p>
      <w:r>
        <w:rPr>
          <w:b/>
        </w:rPr>
        <w:t>E. 2.1</w:t>
      </w:r>
    </w:p>
    <w:p>
      <w:r>
        <w:t>En l’espèce, l’acte de recours, outre qu’il est confus et confine à la prolixité, excède le cadre de la plainte pénale constituant l’unique objet de l’ordonnance du 29 octobre 2020. En effet, la plainte du 29 juillet 2020, confirmée et étendue auprès de la police le 12 septembre 2020, a été déposée pour « abus d’autorité, calomnie, entrave de (sic) justice en erreur et mise en danger de [s]a fille mineur (sic) » (P. 4/1, précitée). Or, dans son recours, la plaignante n’articule pas le moindre moyen dont on pourrait déduire que la non-entrée en matière prononcée par le Procureur général serait erronée. Elle ne précise pas davantage quelle décision elle souhaiterait obtenir en lieu et place de l’ordonnance qu’elle dit contester. Plus encore, elle conclut, en substance, à la réouverture de l’enquête, puisqu’elle requiert, dans ses conclusions, une série de mesures d’instruction en relation avec les précédentes enquêtes, mais en tout cas pas en rapport avec la plainte pénale dirigée contre la Procureure [...]. Dès lors, le recours ne contient ni motivation, ni conclusion qui serait dirigée contre l’ordonnance de non-entrée en matière du 29 octobre 2020, pas plus qu’il ne soulève le moindre moyen qui justifierait le prononcé d’une autre décision. Il est donc dépourvu de moyens et de conclusions. Partant, sa motivation ne satisfait pas aux exigences de l’art. 385 al. 1 CPP.</w:t>
      </w:r>
    </w:p>
    <w:p>
      <w:r>
        <w:rPr>
          <w:b/>
        </w:rPr>
        <w:t>E. 2.2</w:t>
      </w:r>
    </w:p>
    <w:p>
      <w:r>
        <w:t>Par surabondance, il est relevé que l’on ne discerne nulle trace d’une quelconque infraction pénale qu’aurait commise la Procureure [...] dans le traitement de la procédure PE17.016274-MYO, clôturée par arrêt du 14 novembre 2018 du Tribunal fédéral, avant qu’une demande de révision de cet arrêt ne soit déclarée irrecevable par arrêt du 18 décembre 2018.</w:t>
      </w:r>
    </w:p>
    <w:p>
      <w:r>
        <w:rPr>
          <w:b/>
        </w:rPr>
        <w:t>E. 3</w:t>
      </w:r>
    </w:p>
    <w:p>
      <w:r>
        <w:t>Il résulte de ce qui précède que le recours doit être déclaré irrecevable, sans autre échange d'écritures (art. 390 al. 2 CPP). La requête d’assistance judiciaire doit être rejetée, à l’instar de celles dont étaient assortis les précédents recours déposés par la plaignante dans le même complexe de faits, rejetés par les arrêts déjà</w:t>
      </w:r>
    </w:p>
    <w:p>
      <w:r>
        <w:t>- 8 - mentionnés (CREP 28 septembre 2020/736; CREP 28 septembre 2020/737). En effet, le présent recours était d’emblée dénué de toute chance de succès (CREP 2 avril 2019/262 consid. 3; CREP 27 août 2018/659 consid. 3; CREP 28 mai 2018 consid. 6; Ruckstuhl, in : Niggli/Heer/Wiprächtiger [éd.], op. cit., n. 10 ad art. 132 CPP). Les frais de la procédure de recours, constitués en l’espèce du seul émolument d'arrêt (art. 422 al. 1 CPP), par 770 fr. (art. 20 al. 1 TFIP [tarif des frais de procédure et indemnités en matière pénale du 28 septembre 2010; BLV 312.03.1]), seront mis à la charge de la recourante, qui succombe (art. 428 al. 1 CPP). Par ces motifs, la Chambre des recours pénale prononce : I. Le recours est irrecevable. II. La requête d’assistance judiciaire est rejetée. III. Les frais d’arrêt, par 770 fr. (sept cent septante francs), sont mis à la charge de la recourante. IV. L’arrêt est exécutoire. Le président : Le greffier : Du Le présent arrêt, dont la rédaction a été approuvée à huis clos, est notifié, par l'envoi d'une copie complète, à : - Mme N.________, - M. le Procureur général du Canton de Vaud,</w:t>
      </w:r>
    </w:p>
    <w:p>
      <w:r>
        <w:t>- 9 -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