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PE20.013317 vom 15. März 2021</w:t>
      </w:r>
    </w:p>
    <w:p>
      <w:r>
        <w:t>VD Tribunal cantonal, 2021-03-15, FR</w:t>
      </w:r>
    </w:p>
    <w:p>
      <w:r>
        <w:rPr>
          <w:b/>
        </w:rPr>
        <w:t xml:space="preserve">Quelle: </w:t>
      </w:r>
      <w:r>
        <w:t>https://mcp.opencaselaw.ch/entscheid/vd_gerichte_PE20.013317</w:t>
      </w:r>
    </w:p>
    <w:p>
      <w:r>
        <w:t>FR: VD_GERICHTE PE20.013317 du 15 mars 2021</w:t>
      </w:r>
    </w:p>
    <w:p>
      <w:r>
        <w:t>IT: VD_GERICHTE PE20.013317 del 15 marzo 2021</w:t>
      </w:r>
    </w:p>
    <w:p>
      <w:pPr>
        <w:pStyle w:val="Heading2"/>
      </w:pPr>
      <w:r>
        <w:t>Volltext</w:t>
      </w:r>
    </w:p>
    <w:p>
      <w:r>
        <w:t>TRIBUNAL CANTONAL 257 PE20.013317-PGT CHAMBRE DE S RECO URS PEN ALE __________________________________________ Arrêt du 15 mars 2021 _____________________ Composition : M. PERROT, président M. Krieger et Mme Byrde, juges Greffière : Mme Pitteloud ***** Art. 205 et 355 al. 2 CPP Statuant sur le recours interjeté le 27 novembre 2020 par M.________ contre l’ordonnance rendue le 12 novembre 2020 par le Ministère public de l’arrondissement du Nord vaudois dans la cause n° PE20.013317-PGT, la Chambre des recours pénale considère : En fait : A. Par ordonnance pénale du 26 août 2020, le Ministère public de l’arrondissement du Nord vaudois a déclaré M.________ coupable d’enlèvement de mineur et l’a condamnée à une peine pécuniaire de cent vingt jours-amende à 40 fr. avec sursis pendant quatre ans et à une 351</w:t>
      </w:r>
    </w:p>
    <w:p>
      <w:r>
        <w:t>- 2 - amende de 1'000 fr., convertible en vingt-cinq jours de peine privative de liberté en cas de non-paiement dans le délai imparti. Par courrier du 4 septembre 2020, M.________ a formé opposition à l’ordonnance pénale du 26 août 2020. Elle a ainsi été convoquée à une audience agendée au 12 novembre 2020 par mandat de comparution du 11 septembre 2020, envoyé par pli recommandé et distribué le 19 septembre 2020. Au pied de ce mandat, l’art. 355 CPP (Code de procédure pénale suisse du 5 octobre 2007 ; RS 312.0) était reproduit in extenso, l’alinéa 2 en caractères gras. M.________ ne s’est pas présentée à l’audience du 12 novembre 2020. B. Par ordonnance du 12 novembre 2020, le Ministère public de l’arrondissement du Nord vaudois a pris acte du retrait de l’opposition (I), a dit que l’ordonnance pénale du 26 août 2020 devenait exécutoire (II) et a rendu la décision sans frais (III). Le procureur a considéré que M.________ avait fait défaut à l’audience à laquelle elle avait été citée par pli recommandé. En application de l’art. 355 al. 2 CPP, son opposition devait être considérée comme retirée. Cette ordonnance a été notifiée à M.________ le 24 novembre 2020. C. Le 27 novembre 2020, M.________ a adressé à la Chambre des recours pénale un recours contre l’ordonnance du 12 novembre 2020, au pied duquel elle a en substance conclu à l’annulation de l’ordonnance entreprise et au maintien de son opposition.</w:t>
      </w:r>
    </w:p>
    <w:p>
      <w:r>
        <w:t>- 3 - Avec son recours, elle a produit un avis d’arrêt de travail non daté et non signé, indiquant une prolongation d’arrêt de travail jusqu’au 26 novembre 2020. En d roit : 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Niggli/Heer/Wiprächtiger [édit.], Basler Kommentar, Schweizerische Strafprozessordnung, 2e éd., Bâle 2014, n. 5 ad art. 355 CPP ; Schwarzenegger, in Donatsch/Hansjakob/Lieber [édit.], Kommentar zur Schweizerischen Strafprozessordnung, 2e éd., Zurich/Bâle/ Genève 2014, n. 2 ad art. 355 CPP ; CREP 15 janvier 2021/40 consid. 1.2).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En l’espèce, interjeté en temps utile par la prévenue qui a qualité pour recourir (art. 382 al. 1 CPP), et satisfaisant aux exigences de forme (art. 385 al. 1 CPP), le recours est recevable. 2. 2.1 La recourante fait valoir qu’elle n’a pas pu assister à l’audience du 12 novembre 2020 car elle était souffrante. Elle offre pour preuve le</w:t>
      </w:r>
    </w:p>
    <w:p>
      <w:r>
        <w:t>- 4 - certificat médical produit en annexe de son recours. Elle en conclut que son état de santé ne lui permettait pas de se déplacer ce jour-là. 2.2 2.2.1 Aux termes de l'art. 355 CPP, en cas d'opposition, le Ministère public administre les autres preuves nécessaires au jugement de l'opposition (al. 1). Si l'opposant, sans excuse, fait défaut à une audition malgré une citation, son opposition est réputée retirée (al. 2).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 1 CEDH [Convention de sauvegarde des droits de l’homme et des libertés fondamentales du 4 novembre 1950 ; RS 0.101]), que dans la mesure où il appartient en dernier lieu à la personne concernée de l'accepter ou de faire usage, par le biais de l'opposition, de son droit à un examen par un tribunal. Contrairement à ce que prévoit l'art. 205 CPP, le défaut au sens de l'art. 355 al. 2 CPP peut conduire à la perte totale de la protection légale, alors même que la personne concernée a expressément formé opposition, revendiquant ainsi précisément cette protection légale devant les autorités compétentes (ATF 142 IV 158 consid. 3.2 ; ATF 140 IV 82 consid. 2.4, JdT 2014 IV 301). Selon une interprétation conforme à la Constitution et compte tenu de l'importance fondamentale que revêt le droit d'opposition, la fiction légale du retrait prévue par l'art. 355 al. 2 CPP ne peut ainsi s'appliquer que si l'on peut déduire de bonne foi (art. 3 al. 2 let. a CPP) du comportement général de la personne concernée et de son désintérêt pour la suite de la procédure pénale qu'elle a renoncé en connaissance de cause à la protection dont elle jouit en vertu de la loi (ATF 142 IV 158 consid. 3.1 et 3.3 ; ATF 140 IV 82 consid. 2.5 ; TF 6B_945/2019 du 4 septembre 2019 consid. 1.1 ; TF 6B_207/2019 du 13 juin 2029 consid. 3.1). La jurisprudence a toutefois précisé que l'art. 355 al. 2 CPP ne saurait être interprété de sorte à permettre au condamné de choisir la manière dont sa cause sera traitée. Ce dernier ne peut ainsi faire fi de l'organisation voulue</w:t>
      </w:r>
    </w:p>
    <w:p>
      <w:r>
        <w:t>- 5 -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(TF 6B_207/2019, déjà cité, consid. 3.1 ; TF 6B_1244/2017 du 29 mai 2018 consid. 2.3). 2.2.2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RDAF 2002 I 295 ; TF 6B_1297/2018 du 6 février 2019 consid. 1.1 et les réf. citées).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Jeanneret et al. [édit.], Commentaire romand, Code de procédure pénale suisse, 2e éd., Bâle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w:t>
      </w:r>
    </w:p>
    <w:p>
      <w:r>
        <w:t>- 6 - Ces motifs peuvent être plus larges pour certains auteurs, soit des motifs professionnels importants (Weber, in Niggli/Heer/Wiprächtiger, op. cit., nn. 5-6 ad art. 205 CPP).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(Chatton/Droz, op. et loc. cit.). 2.3 En l’espèce, la recourante ne s’est pas présentée à l’audience tenue par le Ministère public le 12 novembre 2020, alors qu’elle y avait valablement été convoquée par mandat de comparution du 11 septembre 2020, qu’elle avait reçu le 19 septembre 2020. L’envoi et la réception du mandat de comparution ne sont pas contestés par la recourante. Il y a donc bien eu un défaut à cette audience. En outre, le mandat attirait l’attention de la recourante sur la conséquence du défaut, l’art. 355 CPP étant reproduit in extenso, et l’alinéa 2 en caractères gras. La recourante fait valoir qu’elle n’a pas pu assister à cette audience car elle était en arrêt maladie. Or, le certificat médical qu’elle a produit ne comporte aucune signature ni tampon du médecin qui l’aurait rempli ; cet avis indique que l’arrêt de travail se terminera le 26 novembre 2020 et que l’intéressée pourra reprendre le travail dès et y compris cette date, que l’arrêt n’est pas en lien avec une affection de longue durée ni en rapport avec un état pathologique résultant de la grossesse. Cet avis n’est pas daté ; la seule indication temporelle qui y figure est le fait qu’il s’agit d’un avis de « prolongation » et non « initial ». En tant que telle, cette pièce n’établit pas que la recourante avait un motif valable pour ne pas comparaître à l’audience du 12 novembre 2020 (cf. art. 205 al. 2 CPP) ; à supposer qu’elle ait été remplie par un médecin – ce qui n’est pas démontré – elle prouverait tout au plus que l’intéressée devait reprendre le travail le 26 novembre 2020 sans qu’on puisse savoir quand cet arrêt était survenu. Au surplus, un simple certificat n’est pas suffisant, il faut encore qu’il résulte du document qu’un déplacement à l’audience est impossible (cf. CREP 15 octobre 2020/815 consid. 2.3), ce qui n’est pas</w:t>
      </w:r>
    </w:p>
    <w:p>
      <w:r>
        <w:t>- 7 - attesté ici. Dans ces conditions la recourante n’établit pas qu’elle était empêchée de comparaître à l’audience en cause. De toute manière, même si elle était au bénéfice d’un certificat valable – ce qui n’est pas le cas – son défaut n’aurait pas été excusable : en effet, elle ne s’est pas manifestée d’une quelconque manière avant l’audience, par exemple en demandant une dispense de comparaître ou un renvoi (cf. TF 6B_342/2018 du 6 février 2019 consid. 4.3.2 et la réf. citée), puis a fait défaut. Alors qu’elle avait eu connaissance de la citation à comparaitre et des conséquences du défaut, elle a ainsi adopté un comportement dont on peut déduire qu’elle se désintéressait de la procédure. C’est dès lors à raison que le Ministère public a fait application de l’art. 355 al. 2 CPP. 3. 3.1 Au vu de ce qui précède, le recours, manifestement mal fondé, doit être rejeté, sans échange d’écritures (art. 390 al. 2 CPP). 3.2 Vu le sort du recours, les frais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12 novembre 2020 est confirmée. III. Les frais d’arrêt, par 770 fr. (sept cent septante francs), sont mis à la charge de la recourante M.________.</w:t>
      </w:r>
    </w:p>
    <w:p>
      <w:r>
        <w:t>- 8 - IV. L’arrêt est exécutoire. Le président : La greffière : Du Le présent arrêt, dont la rédaction a été approuvée à huis clos, est notifié, par l'envoi d'une copie complète, à : - M.________, - Me Pascale Botbol (pour C.________),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