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PE20.013168 vom 14. Oktober 2020</w:t>
      </w:r>
    </w:p>
    <w:p>
      <w:r>
        <w:t>VD Tribunal cantonal, 2020-10-14, FR</w:t>
      </w:r>
    </w:p>
    <w:p>
      <w:r>
        <w:rPr>
          <w:b/>
        </w:rPr>
        <w:t xml:space="preserve">Quelle: </w:t>
      </w:r>
      <w:r>
        <w:t>https://mcp.opencaselaw.ch/entscheid/vd_gerichte_PE20.013168</w:t>
      </w:r>
    </w:p>
    <w:p>
      <w:r>
        <w:t>FR: VD_GERICHTE PE20.013168 du 14 octobre 2020</w:t>
      </w:r>
    </w:p>
    <w:p>
      <w:r>
        <w:t>IT: VD_GERICHTE PE20.013168 del 14 ottobre 2020</w:t>
      </w:r>
    </w:p>
    <w:p>
      <w:pPr>
        <w:pStyle w:val="Heading2"/>
      </w:pPr>
      <w:r>
        <w:t>Erwägungen</w:t>
      </w:r>
    </w:p>
    <w:p>
      <w:r>
        <w:rPr>
          <w:b/>
        </w:rPr>
        <w:t>E. 1</w:t>
      </w:r>
    </w:p>
    <w:p>
      <w:r>
        <w:t>Les parties peuvent attaquer une ordonnance de non-entrée en matière rendue par le Ministère public (art. 310 CPP [Code de procédure pénale suisse du 5 octobre 2007 ; RS 312.0]) dans les dix jours devant l’autorité de recours (art. 310 al. 2, 322 al. 2 et 396 al. 1 CPP ; cf. art. 20 al. 1 let. b CPP) qui est, dans le Canton de Vaud, la Chambre des recours pénale du Tribunal cantonal (art. 13 LVCPP [loi d’introduction du Code de procédure pénale suisse du 19 mai 2009 ; BLV 312.01] ; art. 80 LOJV [loi d’organisation judiciaire du 12 décembre 1979 ; BLV 173.01]). En l'espèce, déposé en temps utile et dans les formes prescrites (art. 385 al. 1 CPP) devant l'autorité compétente par L.X.________ et B.X.________ (ci-après : les recourants), auteurs de la plainte pénale, qui ont qualité pour recourir (art. 382 al. 1 CPP), le recours est recevable.</w:t>
      </w:r>
    </w:p>
    <w:p>
      <w:r>
        <w:rPr>
          <w:b/>
        </w:rPr>
        <w:t>E. 2</w:t>
      </w:r>
    </w:p>
    <w:p>
      <w:r>
        <w:t>- 4 -</w:t>
      </w:r>
    </w:p>
    <w:p>
      <w:r>
        <w:rPr>
          <w:b/>
        </w:rPr>
        <w:t>E. 2.1</w:t>
      </w:r>
    </w:p>
    <w:p>
      <w:r>
        <w:t>Les recourants reprochent au Ministère public de ne pas avoir tenu compte des faits qu’ils avaient exposés dans leur plainte et, en particulier, du mensonge de D.________ (ci-après : l’intimé) auquel ils avaient confié leur véhicule aux fins de le vendre, sur le prix qu’il avait obtenu. Ils en déduisent que celui-ci aurait gardé indûment par-devers lui une partie de ce prix, et aurait commis ainsi un abus de confiance.</w:t>
      </w:r>
    </w:p>
    <w:p>
      <w:r>
        <w:rPr>
          <w:b/>
        </w:rPr>
        <w:t>E. 2.2.1</w:t>
      </w:r>
    </w:p>
    <w:p>
      <w:r>
        <w:t>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Cette disposition doit être appliquée conformément à l'adage « in dubio pro duriore ». Celui-ci découle du principe de la légalité (art. 5 al. 1 Cst. [Constitution fédérale de la Confédération suisse du 18 avril 1999 ; RS 101] et art. 2 al. 2 CPP en relation avec les art. 319 al. 1 et 324 al. 1 CPP ; ATF 138 IV 86 consid. 4.2) et signifie qu'en principe un classement ou une non-entrée en matière ne peuvent être prononcés par le Ministère public que lorsqu'il apparaît clairement que les faits ne sont pas punissables ou que les conditions à la poursuite pénale ne sont pas remplies (ATF 146 IV 68 consid. 2.1). Le Ministère public et l'autorité de recours disposent, dans ce cadre, d'un large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 ATF 138 IV 86 consid. 4.1.2 et les réf. citées ; TF 6B_401/2020 du 13 août 2020 consid. 2.1 ; TF 6B_1047/2019 du 15 janvier 2020 consid. 3.1).</w:t>
      </w:r>
    </w:p>
    <w:p>
      <w:r>
        <w:rPr>
          <w:b/>
        </w:rPr>
        <w:t>E. 2.2.2</w:t>
      </w:r>
    </w:p>
    <w:p>
      <w:r>
        <w:t>Commet un abus de confiance au sens de l'art. 138 ch. 1 al. 2 CP (Code pénal suisse du 21 décembre 1937 ; RS 311.0), celui qui, sans</w:t>
      </w:r>
    </w:p>
    <w:p>
      <w:r>
        <w:t>- 5 - droit, aura employé à son profit ou au profit d'un tiers des valeurs patrimoniales qui lui avaient été confiées. Sur le plan objectif, cette disposition suppose que l'auteur ait utilisé, sans droit, à son profit ou au profit d'un tiers, les valeurs patrimoniales qui lui avaient été confiées. Il y a emploi illicite d'une valeur patrimoniale confiée lorsque l'auteur l'utilise contrairement aux instructions reçues, en s'écartant de la destination fixée. Est ainsi caractéristique de l'abus de confiance au sens de cette disposition le comportement par lequel l'auteur démontre clairement sa volonté de ne pas respecter les droits de celui qui lui fait confiance (ATF 129 IV 257 consid. 2.2.1 ; ATF 121 IV 23 consid. 1c). Du point de vue subjectif, l'auteur doit avoir agi intentionnellement et dans un dessein d'enrichissement illégitime (ATF 133 IV 21 consid. 6.1.2 ; TF 6B_129/2020 du 18 mai 2020 consid. 2.1.4).</w:t>
      </w:r>
    </w:p>
    <w:p>
      <w:r>
        <w:rPr>
          <w:b/>
        </w:rPr>
        <w:t>E. 2.3</w:t>
      </w:r>
    </w:p>
    <w:p>
      <w:r>
        <w:t>En l'espèce, la procureure a retenu que l'affaire était exclusivement civile, ce qui ne constitue pas une motivation, ou à tout le moins pas une motivation suffisante au niveau pénal. Manifestement, et contrairement à ce qu’a retenu la procureure, les actes reprochés par les recourants à l’intimé peuvent constituer un abus de confiance, au sens de l'art. 138 CP. D'abord, dans leur plainte, les recourants exposent qu'ils ont confié leur véhicule à l’intimé, aux fins que celui-ci le vende et encaisse une commission de 500 francs. Ce faisant, ils lui ont confié un bien mobilier, ou la contre-valeur qu’il encaisserait pour ce bien lorsqu'il l'aurait vendu, dont à déduire la commission convenue de 500 francs. Si, comme le prétendent les recourants, l’intimé a bien vendu le véhicule pour un prix supérieur à celui qu'il leur a annoncé, soit 53'410 fr. au lieu de 48'500 fr., et a encaissé la différence, sous réserve de la marge de 500 fr., il y a un emploi illicite par celui-ci de la contre-valeur confiée. Il en va possiblement de même d'un montant de 2'000 fr. de caution que [...] a porté en déduction du montant du rachat de leasing, et que l’intimé n'aurait pas restitué aux recourants.</w:t>
      </w:r>
    </w:p>
    <w:p>
      <w:r>
        <w:t>- 6 - En conclusion, il n'est pas possible d'exclure que l’intimé se soit rendu coupable de l'infraction d'abus de confiance. Il découle de ce qui précède que les conditions d'une non-entrée en matière ne sont pas remplies. Partant, il appartiendra au Ministère public d'ouvrir une instruction pénale contre l’intimé sur la base des faits dénoncés par les recourants, d'entendre ce dernier dans ses explications ainsi que, le cas échéant, [...], qui a acquis le véhicule.</w:t>
      </w:r>
    </w:p>
    <w:p>
      <w:r>
        <w:rPr>
          <w:b/>
        </w:rPr>
        <w:t>E. 3.1</w:t>
      </w:r>
    </w:p>
    <w:p>
      <w:r>
        <w:t>En définitive, le recours doit être admis, l'ordonnance du 28 août 2020 annulée et le dossier de la cause renvoyé au Ministère public de l’arrondissement du Nord vaudois pour qu'il procède dans le sens des considérants.</w:t>
      </w:r>
    </w:p>
    <w:p>
      <w:r>
        <w:rPr>
          <w:b/>
        </w:rPr>
        <w:t>E. 3.2</w:t>
      </w:r>
    </w:p>
    <w:p>
      <w:r>
        <w:t>Les frais d’arrêt, par 660 fr. (art. 20 al. 1 TFIP [tarif des frais de procédure et indemnités en matière pénale du 28 septembre 2010 ; BLV 312.03.1]), seront laissés à la charge de l’Etat (art. 423 al. 1 CPP). Le montant de 550 fr. versé par les recourants à titre de sûretés leur sera restitué (art. 7 TFIP). Par ces motifs, la Chambre des recours pénale prononce : I. Le recours est admis. II. L’ordonnance du 28 août 2020 est annulée. III. Le dossier de la cause est renvoyé au Ministère public de l’arrondissement du Nord vaudois pour qu’il procède dans le sens des considérants. IV. Les frais d’arrêt, par 660 fr. (six cent soixante francs), sont laissés à la charge de l’Etat.</w:t>
      </w:r>
    </w:p>
    <w:p>
      <w:r>
        <w:t>- 7 - V. Le montant de 550 fr. (cinq cent cinquante francs) versé par les recourants L.X.________ et B.X.________ à titre de sûretés leur est restitué. VI. L’arrêt est exécutoire. Le président : La greffière : Du Le présent arrêt, dont la rédaction a été approuvée à huis clos, est notifié, par l'envoi d'une copie complète, à : - L.X.________ et B.X.________, - D.________, - Ministère public central, et communiqué à : - Mme la Procureure de l’arrondissement du Nord vaudois,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