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PE20.013101 vom 28. September 2020</w:t>
      </w:r>
    </w:p>
    <w:p>
      <w:r>
        <w:t>VD Tribunal cantonal, 2020-09-28, FR</w:t>
      </w:r>
    </w:p>
    <w:p>
      <w:r>
        <w:rPr>
          <w:b/>
        </w:rPr>
        <w:t xml:space="preserve">Quelle: </w:t>
      </w:r>
      <w:r>
        <w:t>https://mcp.opencaselaw.ch/entscheid/vd_gerichte_PE20.013101</w:t>
      </w:r>
    </w:p>
    <w:p>
      <w:r>
        <w:t>FR: VD_GERICHTE PE20.013101 du 28 septembre 2020</w:t>
      </w:r>
    </w:p>
    <w:p>
      <w:r>
        <w:t>IT: VD_GERICHTE PE20.013101 del 28 settembre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- 5 - Interjeté en temps utile et dans les formes prescrites (art. 385 al. 1 CPP) auprès de l’autorité compétente, par la partie plaignante qui a qualité pour recourir (art. 382 al. 1 CPP) pour ce qui est de son honneur pénalement protégé et de la mise en danger de la vie d’autrui au préjudice de sa fille dénoncée par ailleurs, le recours est recevable, sous la réserve de ce qui suit. Le présent recours est dans une très large mesure identique à celui interjeté le 18 juin 2020 contre une ordonnance de non-entrée en matière rendue le 8 juin 2020 et qui fait l’objet d’un arrêt séparé rendu ce jour par la Cour de céans (n° 736). Les deux ordonnances contestées, rendues par deux Procureurs différents, sont toutefois loin d’être similaires dans leur motivation. Il s’agit toutefois du même complexe de faits. Partant, la question de la recevabilité du recours peut rester ouverte à cet égard. La qualité pour recourir de la plaignante doit en revanche être niée sous un autre aspect. En effet, la recourante a déposé plainte, respectivement a dénoncé les époux [...], notamment pour entrave à l'action pénale. Or, l'art. 305 CP (Code pénal suisse du 21 décembre 1937; RS 311.0), qui définit l'entrave à l'action pénale, protège exclusivement le fonctionnement de la justice, à l'exclusion des intérêts privés (TF 6B_143/2020 du 1er avril 2020 consid. 1.2; TF 6B_851/2018 du 7 décembre 2018 consid. 3; TF 6B_1318/2017 du 9 février 2018 consid. 7.2.2). Force est donc de nier la qualité pour recourir de la plaignante au regard de l’art. 382 al. 1 CPP s'agissant de l'infraction d'entrave à l'action pénale. Le recours est ainsi irrecevable dans cette mesure.</w:t>
      </w:r>
    </w:p>
    <w:p>
      <w:r>
        <w:rPr>
          <w:b/>
        </w:rPr>
        <w:t>E. 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w:t>
      </w:r>
    </w:p>
    <w:p>
      <w:r>
        <w:t>- 6 -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A teneur de l’art. 310 al. 1 let. c CPP, il en va de même s'il ressort de la dénonciation ou du rapport de police que les conditions mentionnées à l'art. 8 CPP imposent de renoncer à l'ouverture d'une poursuite pénale.</w:t>
      </w:r>
    </w:p>
    <w:p>
      <w:r>
        <w:rPr>
          <w:b/>
        </w:rPr>
        <w:t>E. 3.1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w:t>
      </w:r>
    </w:p>
    <w:p>
      <w:r>
        <w:t>- 7 - sont conformes à la vérité ou qu'il avait des raisons sérieuses de les tenir de bonne foi pour vraies (art. 173 ch. 2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TF 6B_676/2017 du 15 décembre 2017 consid. 3.1; TF 6B_119/2017 du 12 décembre 2017 consid. 3.1).</w:t>
      </w:r>
    </w:p>
    <w:p>
      <w:r>
        <w:rPr>
          <w:b/>
        </w:rPr>
        <w:t>E. 3.2</w:t>
      </w:r>
    </w:p>
    <w:p>
      <w:r>
        <w:t>Selon l'art. 129 CP, se rend coupable de mise en danger de la vie d’autrui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TF 6B_876/2015 du 2 mai 2016 consid. 2.1 non publié aux ATF 142 IV 245). Le danger de mort imminent représente cependant plus que cela. Il est réalisé lorsqu'un</w:t>
      </w:r>
    </w:p>
    <w:p>
      <w:r>
        <w:t>- 8 - danger de mort imminent – et non pas seulement d'un danger pour la santé ou l'intégrité corporelle – apparaît si probable qu'il faut être dénué de scrupules pour négliger sciemment d'en tenir compte (ATF 121 IV 67 consid. 2b/aa).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TF 6B_876/2015 précité). L'immédiateté disparaît ou s'atténue lorsque s'interposent ou surviennent des actes ou d'autres éléments extérieurs (TF 6B_144/2019 du 17 mai 2019 consid. 3.1 et les références citées; JdT 2016 III 97, jugement de la Cour d’appel pénale du Tribunal cantonal confirmé par TF 6B_876/2015 du 2 mai 2016 consid. 2.1, non publié aux ATF 142 IV 245, et les arrêts cités).</w:t>
      </w:r>
    </w:p>
    <w:p>
      <w:r>
        <w:rPr>
          <w:b/>
        </w:rPr>
        <w:t>E. 4</w:t>
      </w:r>
    </w:p>
    <w:p>
      <w:r>
        <w:t>En l’espèce, les griefs évoqués dans la plainte du 27 juillet 2020 se rapportent presque exclusivement à des affaires classées, en dernière instance par arrêts rendus par le Tribunal fédéral les 14 novembre 2018 (6B_962/2018) et 9 octobre 2019 (6B_980/2019). C’est donc en vain que la recourante tente de remettre en cause ces décisions de justice en revenant sur des faits ayant fait l’objet d’un classement. D’ailleurs, force est de constater qu’elle rediscute en particulier les faits de la procédure PE17.016274-MYO (ainsi, du reste, ceux de la cause PE17.017919-MYO), en désignant le magistrat saisi par les termes « la Procureure » (recours, p. 2 et 5 à 11), alors que l’ordonnance du 10 août 2020, seule en cause dans la présente procédure de recours, a été rendue sous la signature du Procureur [...], avec une motivation spécifique que, comme déjà relevé, la recourante ne prend pas la peine de contester par des moyens s’y rapportant séparément. Les motifs du Procureur doivent donc sans autre être adoptés. S’agissant en particulier du fait que la fille de la plaignante a été remise à son père le 12 décembre 2018, sans avis préalable à la mère, par la directrice de l’école au sein de laquelle l’enfant était scolarisée (plainte, ch. 37), on ne distingue nullement, loin s’en faut, en quoi cette</w:t>
      </w:r>
    </w:p>
    <w:p>
      <w:r>
        <w:t>- 9 - mesure aurait mis en danger la vie de l’enfant; aucune considération relevant de la nature des relations de l’enfant avec le co-titulaire de l’autorité parentale ne saurait être déterminante à cet égard, de sorte que les termes « on a traumatisé mon enfant » utilisés par la plaignante (plainte, ibid.) sont irrelevants. Le moyen est ainsi téméraire. Pour le reste, on ne discerne aucune atteinte à l’honneur pénalement protégé de la recourante. Il n’y a donc pas lieu d’entrer en matière sur la plainte du 27 juillet 2020, dès lors que, s’agissant des rares faits non déjà articulés dans les procédures clôturées, les éléments constitutifs de toute infraction pénale ne sont manifestement pas réunis (art. 310 al. 1 let. a CPP).</w:t>
      </w:r>
    </w:p>
    <w:p>
      <w:r>
        <w:rPr>
          <w:b/>
        </w:rPr>
        <w:t>E. 5</w:t>
      </w:r>
    </w:p>
    <w:p>
      <w:r>
        <w:t>Il résulte de ce qui précède que le recours, manifestement mal fondé, doit être rejeté dans la mesure où il est recevable, sans autre échange d'écritures (art. 390 al. 2 CPP), et l’ordonnance attaquée confirmée. La requête d’assistance judiciaire doit être rejetée, dès lors que le recours était d’emblée dénué de toute chance de succès (CREP 2 avril 2019/262 consid. 3; CREP 27 août 2018/659 consid. 3; CREP 28 mai 2018 consid. 6; Ruckstuhl, in : Niggli/Heer/Wiprächtiger [éd.], Basler Kommentar, Schweizerische Strafprozessordnung, Jugendstrafprozessordnung, Art. 1-195 StPO, 2e éd., Bâle 2014, n. 10 ad art. 132 CPP). Les frais de la procédure de recours, constitués en l’espèce du seul émolument d'arrêt (art. 422 al. 1 CPP), par 990 fr. (art. 20 al. 1 TFIP [tarif des frais de procédure et indemnités en matière pénale du 28 septembre 2010; BLV 312.03.1]), seront mis à la charge de la recourante, qui succombe (art. 428 al. 1 CPP). Par ces motifs, la Chambre des recours pénale prononce : I. Le recours est rejeté dans la mesure où il est recevable. II. L’ordonnance du 10 août 2020 est confirmée.</w:t>
      </w:r>
    </w:p>
    <w:p>
      <w:r>
        <w:t>- 10 - III. La requête d’assistance judiciaire est rejetée. IV. Les frais d’arrêt, par 990 fr. (neuf cent nonante francs), sont mis à la charge de la recourante. V. L’arrêt est exécutoire. Le président : Le greffier : Du Le présent arrêt, dont la rédaction a été approuvée à huis clos, est notifié, par l'envoi d'une copie complète, à : - Mme P.________, - Ministère public central, et communiqué à : - M. le Procureur de l’arrondissement de l’Est vaudois, par l’envoi de photocopies.</w:t>
      </w:r>
    </w:p>
    <w:p>
      <w:r>
        <w:t>- 11 - Le présent arrêt peut faire l'objet d'un recours en matière pénale devant le Tribunal fédéral au sens des art. 78 ss LTF (loi sur le Tribunal fédéral du 17 juin 2005;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