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PE20.012933 vom 21. Januar 2026</w:t>
      </w:r>
    </w:p>
    <w:p>
      <w:r>
        <w:t>VD Tribunal cantonal, 2026-01-21, FR</w:t>
      </w:r>
    </w:p>
    <w:p>
      <w:r>
        <w:rPr>
          <w:b/>
        </w:rPr>
        <w:t xml:space="preserve">Quelle: </w:t>
      </w:r>
      <w:r>
        <w:t>https://mcp.opencaselaw.ch/entscheid/vd_gerichte_PE20.012933</w:t>
      </w:r>
    </w:p>
    <w:p>
      <w:r>
        <w:t>FR: VD_GERICHTE PE20.012933 du 21 janvier 2026</w:t>
      </w:r>
    </w:p>
    <w:p>
      <w:r>
        <w:t>IT: VD_GERICHTE PE20.012933 del 21 gennaio 2026</w:t>
      </w:r>
    </w:p>
    <w:p>
      <w:pPr>
        <w:pStyle w:val="Heading2"/>
      </w:pPr>
      <w:r>
        <w:t>Erwägungen</w:t>
      </w:r>
    </w:p>
    <w:p>
      <w:r>
        <w:rPr>
          <w:b/>
        </w:rPr>
        <w:t>E. 1.1</w:t>
      </w:r>
    </w:p>
    <w:p>
      <w:r>
        <w:t>Les parties peuvent attaquer une ordonnance de non-entrée en matière ou une ordonnance de classement rendue par le Ministère public en application des art. 310, respectivement 319 ss CPP,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et à titre liminaire, on relèvera que si la recourante a déposé deux actes de recours à l’encontre de deux ordonnances distinctes, les faits reprochés à Q.________ et G.________, d’une part, et à C.________, d’autre part, constituent un seul complexe de faits. Par conséquent, il se justifie de joindre les deux causes, qui seront donc traitées dans un seul arrêt. Pour le surplus, interjetés en temps utile auprès de l’autorité compétente et dans les formes prescrites – sous réserve de ce qui sera exposé ci-après –, par une partie plaignante qui a qualité pour recourir (art. 382 al. 1 CPP), les recours sont recevables.</w:t>
      </w:r>
    </w:p>
    <w:p>
      <w:r>
        <w:rPr>
          <w:b/>
        </w:rPr>
        <w:t>E. 2.1</w:t>
      </w:r>
    </w:p>
    <w:p>
      <w:r>
        <w:t>La recourante se plaint d’une violation de son droit d’être entendue et du principe de l’égalité de traitement, dans la mesure où F.________ n’a jamais été entendu par le Ministère public, ni confronté aux prévenus ou à C.________. Elle reproche également à cette autorité de ne pas avoir suffisamment motivé sa décision, notamment quant à l’éventuelle violation de la LCD, « balayée en quatre lignes péremptoires », et quant aux infractions de gestion déloyale et d’abus de confiance. 12J010</w:t>
      </w:r>
    </w:p>
    <w:p>
      <w:r>
        <w:t>- 11 -</w:t>
      </w:r>
    </w:p>
    <w:p>
      <w:r>
        <w:rPr>
          <w:b/>
        </w:rPr>
        <w:t>E. 2.1.3</w:t>
      </w:r>
    </w:p>
    <w:p>
      <w:r>
        <w:t>; TF 6B_1100/2020 précité consid. 2.1 ; TF 6B_191/2020 du 17 juin 2020 consid. 7.2.2). Le droit d'être entendu implique par ailleurs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(ATF 146 II 335 consid 5.1 ; ATF 143 III 65 consid. 5.2 ; ATF 139 IV 179 consid. 2.2 ; TF 7B_68/2022 du 6 mars 2024 consid. 2.2.1), de manière que l'intéressé puisse se rendre compte de la portée de celle-ci et l'attaquer en connaissance de cause (ATF 143 IV 40 consid. 3.4.3 ; ATF 141 IV 249 consid. 1.3.1 ; ATF 139 IV 179 précité). Il n'a toutefois pas l'obligation d'exposer et de discuter tous les faits, moyens de preuve et griefs invoqués par les parties, mais peut se limiter à l'examen des questions décisives pour l'issue du litige (ATF 147 IV 249 consid. 2.4 ; ATF 142 II 154 consid. 4.2 ; ATF 139 IV 179 précité). La motivation peut d'ailleurs être implicite et résulter des différents considérants de la décision (ATF 141 V 557 consid. 3.2.1 ; TF 7B_68/2022 précité).</w:t>
      </w:r>
    </w:p>
    <w:p>
      <w:r>
        <w:rPr>
          <w:b/>
        </w:rPr>
        <w:t>E. 2.2</w:t>
      </w:r>
    </w:p>
    <w:p>
      <w:r>
        <w:t>Le droit d'être entendu, garanti à l'art. 29 al. 2 Cst. (Constitution fédérale de la Confédération suisse du 18 avril 1999 ; RS 101), comprend notamment celui de produire ou de faire administrer des preuves, à condition qu'elles soient pertinentes et de nature à influer sur la décision à rendre (ATF 145 l 73 consid. 7.2.2.1 ; ATF 143 V 71 consid. 4.1 ; TF 6B_1049/2023 du 19 juillet 2024 consid. 1.1.1). En procédure pénale, en application de l'art. 318 al. 2 CPP, le Ministère public ne peut écarter une réquisition de preuve que si celle-ci exige l'administration de preuves sur des faits non pertinents, notoires, connus de l'autorité pénale ou déjà suffisamment prouvés en droit. Ces motifs correspondent à ceux pour lesquels le Ministère public peut, de manière générale, renoncer à administrer une preuve (art. 139 al. 2 CPP).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Ce refus d'instruire ne viole le droit d'être entendu que si l'appréciation anticipée de la pertinence du moyen de preuve offert, à laquelle le juge a ainsi procédé, est entachée d'arbitraire (ATF 147 IV 534 consid. 2.5.1 ; ATF 144 II 427 consid. 3.1.3 ; ATF 141 I 60 consid. 3.3). Le magistrat peut ainsi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(ATF 144 II 427 consid. 3.1.3 ; TF 7B_691/2023 du 7 novembre 2023 consid. 3.2.1). Avant l'ouverture d'une instruction, le droit de participer à l'administration des preuves ne s'applique en principe pas (art. 147 al. 1 CPP a contrario ; cf. ATF 143 IV 397 consid. 3.3.2 ; ATF 140 IV 172 consid. 1.2.2), et ce y compris en cas d'investigations policières diligentées à titre de complément d'enquête requis par le Ministère public en vertu de l'art. 309 al. 2 CPP (TF 6B_1100/2020 du 16 décembre 2021 consid. 2.1 ; TF 6B_1007/2020 du 13 avril 2021 consid. 2.3). En outre, avant de rendre une ordonnance de non-entrée en matière, le Ministère public n'a pas à informer 12J010</w:t>
      </w:r>
    </w:p>
    <w:p>
      <w:r>
        <w:t>- 12 - les parties ni n'a l'obligation de leur fixer un délai pour présenter d'éventuelles réquisitions de preuve, l'art. 318 CPP n'étant pas applicable dans ce cas. Le droit d'être entendu des parties est en effet assuré, le cas échéant, dans le cadre de la procédure de recours contre l'ordonnance de non-entrée en matière (cf. art. 310 al. 2, 322 al. 2 et 393 ss CPP). Cette procédure permet aux parties de faire valoir tous leurs griefs –formels et matériels – auprès d'une autorité disposant d'une pleine cognition en fait et en droit (cf. art. 391 al. 1 et 393 al. 2 CPP ; TF 6B_638/2021 précité consid.</w:t>
      </w:r>
    </w:p>
    <w:p>
      <w:r>
        <w:rPr>
          <w:b/>
        </w:rPr>
        <w:t>E. 2.3</w:t>
      </w:r>
    </w:p>
    <w:p>
      <w:r>
        <w:t>D’emblée, il faut écarter – pour autant que le grief soit considéré comme suffisamment motivé (cf. art. 385 CPP) puisqu’il est seulement évoqué – la critique de violation du droit d’être entendu et du principe d’égalité de traitement. Le Ministère public était en droit de rendre une ordonnance de non-entrée en matière sans entendre F.________ pour la recourante, dès lors que tant le Code de procédure pénale, que la jurisprudence, lui permettent précisément de procéder de la sorte. Il est en 12J010</w:t>
      </w:r>
    </w:p>
    <w:p>
      <w:r>
        <w:t>- 13 - effet loisible à la partie plaignante de faire valoir ses arguments dans le cadre de la procédure de recours, ce qu’elle fait d’ailleurs. Pour le surplus, la recourante a eu la possibilité d’exposer ses reproches dans la plainte qu’elle a adressée au Ministère public le 24 décembre 2020, puis une nouvelle fois dans la présente procédure de recours. F.________ a été cité à comparaître une fois, mais n’a pas pu se présenter, selon la recourante, pour des motifs de santé. Cela étant, le Ministère public a manifestement considéré que l’administration de cette preuve n’était pas nécessaire, car pas susceptible d’apporter des éléments pertinents supplémentaires. En effet, l’audition de celui qui a signé les contrats pour B.________ Sàrl ne permettrait que de constater ce qu’il réitère dans son mémoire de recours et qu’il a déjà communiqué par écrit tout au long de la procédure, à savoir qu’il croyait en la solidité financière de D.________ SA et la poursuite de ses activités. Cela ne signifie toutefois pas pour autant que tel était le cas, ni davantage que ses interlocuteurs lui auraient – astucieusement et dans un dessein de tromperie et d’obtention d’un avantage illicite – fait croire que tel était effectivement le cas. Il sied encore de préciser qu’il n’y a pas de droit à exercer le droit d’être entendu oralement et le principe d’égalité de traitement ne confère aucune prétention à être auditionné le même nombre de fois que d’autres, ce d’autant que les parties n’ont pas toutes la même qualité (plaignante ou prévenus). Par ailleurs, même succincte sur les points relevés par la recourante, la motivation de l’ordonnance de classement est présente et n’a pas à s’étendre sur de longues pages s’il est manifeste que les faits dénoncés ne peuvent pas donner lieu à des poursuites pénales. Par surcroît, la recourante a très bien compris les motifs ayant conduit la Procureure à rendre une ordonnance de classement, puisqu’elle forme recours à son encontre et motive assez longuement son mémoire. Le grief de violation du droit d’être entendu à l’aune de la motivation suffisante doit donc également être écarté.</w:t>
      </w:r>
    </w:p>
    <w:p>
      <w:r>
        <w:rPr>
          <w:b/>
        </w:rPr>
        <w:t>E. 3</w:t>
      </w:r>
    </w:p>
    <w:p>
      <w:r>
        <w:t>12J010</w:t>
      </w:r>
    </w:p>
    <w:p>
      <w:r>
        <w:t>- 14 -</w:t>
      </w:r>
    </w:p>
    <w:p>
      <w:r>
        <w:rPr>
          <w:b/>
        </w:rPr>
        <w:t>E. 3.1</w:t>
      </w:r>
    </w:p>
    <w:p>
      <w:r>
        <w:t>Sur le fond, la recourante reproche au Ministère public d’avoir procédé à une constatation incomplète et erronée des faits et d’avoir abusé de son pouvoir d’appréciation. Se prévalant du principe in dubio pro duriore en lien avec les art. 138, 146, 158, 163 à 165 CP et 5 cum 23 LCD, elle conteste que les conditions permettant au Ministère public de rendre une ordonnance de non-entrée en matière, respectivement de classement, soient remplies.</w:t>
      </w:r>
    </w:p>
    <w:p>
      <w:r>
        <w:rPr>
          <w:b/>
        </w:rPr>
        <w:t>E. 3.2.1.1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dans le respect de l'adage in dubio pro duriore. Celui-ci découle du principe de la légalité (art. 5 al. 1 Cst. et art. 2 al. 2 CPP en relation avec les art. 319 al. 1 et 324 al. 1 CPP ; ATF 138 IV 86 consid. 4.2) et signifie qu'en principe, un classement ou une non-entrée en matière ne peuvent être prononcés par le Ministère public que lorsqu'il apparaît clairement que les faits ne sont pas punissables ou que les conditions de la poursuite pénale ne sont pas remplies (ATF 143 IV 241 consid. 2.2.1 ; ATF 138 IV 86 consid. 4.1.2 et les références citées ; TF 7B_24/2023 du 22 février 2024 consid. 3.2).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En revanche, le Ministère public doit pouvoir rendre une ordonnance de non-entrée en matière dans les cas où il apparaît d’emblée qu’aucun acte d’enquête ne pourra apporter la preuve 12J010</w:t>
      </w:r>
    </w:p>
    <w:p>
      <w:r>
        <w:t>- 15 - d’une infraction à la charge d’une personne déterminée (TF 6B_541/2017 du 20 décembre 2017 consid. 2.2).</w:t>
      </w:r>
    </w:p>
    <w:p>
      <w:r>
        <w:rPr>
          <w:b/>
        </w:rPr>
        <w:t>E. 3.2.1.2</w:t>
      </w:r>
    </w:p>
    <w:p>
      <w:r>
        <w:t>Aux termes de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La décision de classer la procédure doit être prise en application du principe in dubio pro duriore. Ce principe vaut également pour l'autorité judiciaire chargée de l'examen d'une décision de classement. Il signifie qu'en règle générale,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146 IV 68 consid. 2.1, JdT 2020 IV 256 ; ATF 143 IV 241 consid. 2.2.1, JdT 2017 IV 357 ; TF 7B_630/2023 du 20 août 2024 consid. 3.2.1 ; TF 7B_652/2024 du 30 juillet 2024 consid. 4.1). En revanche, le Ministère public doit classer la procédure s'il apparaît, sur la base de faits assez clairs pour qu'il n'y ait pas lieu de s'attendre à une appréciation différente de l'autorité de jugement (ATF 143 IV 241 consid. 2.3.2), qu'un renvoi aboutirait selon toute vraisemblance à un acquittement. 12J010</w:t>
      </w:r>
    </w:p>
    <w:p>
      <w:r>
        <w:t>- 16 -</w:t>
      </w:r>
    </w:p>
    <w:p>
      <w:r>
        <w:rPr>
          <w:b/>
        </w:rPr>
        <w:t>E. 3.2.2.1</w:t>
      </w:r>
    </w:p>
    <w:p>
      <w:r>
        <w:t>Commet un abus de confiance au sens de l'art. 138 ch. 1 al. 2 aCP –dans sa teneur en vigueur jusqu’au 30 juin 2023 (RO 2023 p. 259 ; FF 2018 p. 2889) – celui qui, sans droit, aura employé à son profit ou au profit d'un tiers des valeurs patrimoniales qui lui avaient été confiées. Cette disposition ne protège pas la propriété, mais le droit de celui qui a confié la valeur patrimoniale à ce que celle-ci soit utilisée dans le but qu'il a assigné et conformément aux instructions qu'il a données. S'agissant du contrat d'entreprise, le fait qu'un acompte soit affecté à d'autres fins qu'à la réalisation du contrat ne suffit pas pour considérer qu'il y a valeurs patrimoniales confiées au sens de l'art. 138 ch. 1 al. 2 CP. Encore faut-il que les parties aient convenu de l'affectation de l'acompte, par exemple au règlement des factures relatives à la construction faisant l'objet du contrat (TF 6B_160/2012 du 5 avril 2013 consid. 2.2 où une telle affectation a été retenue ; TF 6B_972/2018 du 20 novembre 2018 ; CAPE 24 octobre 2019/393 ; CAPE 23 janvier 2017/27, où tel n'a pas été le cas).</w:t>
      </w:r>
    </w:p>
    <w:p>
      <w:r>
        <w:rPr>
          <w:b/>
        </w:rPr>
        <w:t>E. 3.2.2.2</w:t>
      </w:r>
    </w:p>
    <w:p>
      <w:r>
        <w:t>Aux termes de l'art. 146 al. 1 aCP – dans sa teneur en vigueur jusqu’au 30 juin 2023 (RO 2023 p. 259 ; FF 2018 p. 2889) –,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consiste à tromper la dupe par des affirmations fallacieuses, par la dissimulation de faits vrais ou par un comportement qui la conforte dans son erreur. Par tromperie, il faut entendre tout comportement destiné à faire naître chez autrui une représentation erronée des faits (ATF 150 IV 169 consid. 5.1 ; TF 7B_712/2024 du 5 novembre 2025 consid. 3.2.4). Pour qu'il y ait escroquerie, une simple tromperie ne suffit cependant pas ; il faut encore qu'elle soit astucieuse. Il y a tromperie astucieuse, au sens de l'art. 146 al. 1 CP, lorsque l'auteur recourt à un 12J010</w:t>
      </w:r>
    </w:p>
    <w:p>
      <w:r>
        <w:t>- 17 -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150 IV 169 consid. 5.1 ; ATF 147 IV 73 consid. 3.2).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150 IV 169 consid. 5.1.1 ; ATF 147 IV 73 consid. 3.2 ; ATF 143 IV 302 consid. 1.4.1).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(ATF 134 IV 210 consid. 5.3 ; TF 7B_712/2024 précité). Une tromperie au sens de l'art. 146 CP peut notamment se rapporter à la volonté d'exécuter un contrat. Une telle tromperie n'est toutefois pas astucieuse dans tous les cas. Il est trop schématique d'affirmer que la volonté affichée est un phénomène intérieur invérifiable et qu'une tromperie relative à cette volonté est toujours astucieuse (ATF 118 IV 359 consid. 2 ; TF 7B_50/2022 du 27 juin 2024 consid. 3.4.2).</w:t>
      </w:r>
    </w:p>
    <w:p>
      <w:r>
        <w:rPr>
          <w:b/>
        </w:rPr>
        <w:t>E. 3.2.2.3</w:t>
      </w:r>
    </w:p>
    <w:p>
      <w:r>
        <w:t>Réprimant la gestion déloyale, l'art. 158 aCP – dans sa teneur en vigueur jusqu’au 30 juin 2023 (RO 2023 p. 259 ; FF 2018 p. 2889) – punit celui qui, en vertu de la loi, d'un mandat officiel ou d'un acte juridique, est tenu de gérer les intérêts pécuniaires d'autrui ou de veiller sur leur gestion et qui, en violation de ses devoirs, aura porté atteinte à ces intérêts ou aura 12J010</w:t>
      </w:r>
    </w:p>
    <w:p>
      <w:r>
        <w:t>- 18 - permis qu'ils soient lésés (ch. 1 al. 1). Le cas de la gestion déloyale aggravée est réalisé lorsque l'auteur a agi dans le dessein de se procurer ou de procurer à un tiers un enrichissement illégitime (ch. 1 al. 3). Selon la jurisprudence, l'infraction réprimée par l'art. 158 ch. 1 CP ne peut être commise que par une personne qui revêt la qualité de gérant. Il s'agit d'une personne à qui incombe, de fait ou formellement, la responsabilité d'administrer un complexe patrimonial non négligeable dans l'intérêt d'autrui et qui jouit pour ce faire d'un degré d'indépendance suffisant et d'un pouvoir de disposition autonome sur les biens administrés. Ce pouvoir peut aussi bien se manifester par la passation d'actes juridiques que par la défense, sur le plan interne, d'intérêts patrimoniaux, ou encore par des actes matériels, l'essentiel étant que le gérant se trouve au bénéfice d'un pouvoir de disposition autonome sur tout ou partie des intérêts pécuniaires d'autrui, sur les moyens de production ou le personnel d'une entreprise (ATF 142 IV 346 consid. 3.2 ; TF 6B_970/2024 du 28 juillet 2025 consid. 3.1 et les arrêts cités). Le comportement délictueux visé à l'art. 158 CP n'est pas décrit par le texte légal. Il consiste à violer les devoirs inhérents à la qualité de gérant. Le gérant sera ainsi punissable s'il transgresse – par action ou par omission – les obligations spécifiques qui lui incombent en vertu de son devoir de gérer et de protéger les intérêts pécuniaires d'une tierce personne (ATF 142 IV 346 consid. 3.2). Pour qu'il y ait gestion déloyale, il ne suffit pas que l'auteur ait été gérant, ni qu'il ait violé une quelconque obligation de nature pécuniaire à l'endroit de la personne dont il gère tout ou partie du patrimoine ; le terme de gestion déloyale et la définition légale de l'infraction exigent que l'obligation qu'il a violée soit liée à la gestion confiée (ATF 123 IV 17 consid. 3c ; ATF 120 IV 190 consid. 2b).</w:t>
      </w:r>
    </w:p>
    <w:p>
      <w:r>
        <w:rPr>
          <w:b/>
        </w:rPr>
        <w:t>E. 3.2.2.4</w:t>
      </w:r>
    </w:p>
    <w:p>
      <w:r>
        <w:t>L'art. 164 ch. 1 aCP – dans sa teneur en vigueur jusqu’au 30 juin 2023 (RO 2023 p. 259 ; FF 2018 p. 2889) – sanctionne la diminution effective par le débiteur de son actif au préjudice des créanciers. Cette disposition 12J010</w:t>
      </w:r>
    </w:p>
    <w:p>
      <w:r>
        <w:t>- 19 - envisage trois hypothèses : premièrement la détérioration, la destruction, la dépréciation ou la mise hors d'usage de valeurs patrimoniales (al. 1), deuxièmement leur cession à titre gratuit ou contre une prestation de valeur manifestement inférieure (al. 2) et troisièmement le refus sans raison valable de droits qui reviennent au débiteur ou la renonciation gratuite à de tels droits (al. 3). L'art. 164 ch. 1 CP n'est applicable que si le débiteur a été déclaré en faillite ou si un acte de défaut de biens a été dressé contre lui. Le comportement sanctionné par cette disposition doit être distingué de celui visé par l'art. 163 CP qui réprime la banqueroute frauduleuse et la fraude dans la saisie. Alors que l'art. 164 CP s'applique au débiteur qui diminue effectivement son actif à l'occasion d'une procédure de faillite ou de poursuite pour dettes, par exemple en détruisant des biens ou en procédant à des libéralités, l'art. 163 CP vise le débiteur qui diminue fictivement le patrimoine pour désintéresser les créanciers par la voie de la poursuite pour dettes (TF 6B_575/2009 du 14 janvier 2010 consid. 1.1).</w:t>
      </w:r>
    </w:p>
    <w:p>
      <w:r>
        <w:rPr>
          <w:b/>
        </w:rPr>
        <w:t>E. 3.2.2.5</w:t>
      </w:r>
    </w:p>
    <w:p>
      <w:r>
        <w:t>Aux termes de l'art. 165 ch. 1 aCP – dans sa teneur en vigueur jusqu’au 30 juin 2023 (RO 2023 p. 259 ; FF 2018 p. 2889) –, se rend coupable de gestion fautive le débiteur qui, de manières autres que celles visées à l'art. 164 CP, par des fautes de gestion, notamment par une dotation insuffisante en capital, par des dépenses exagérées, par des spéculations hasardeuses, par l'octroi ou l'utilisation à la légère de crédits, par le bradage de valeurs patrimoniales ou par une négligence coupable dans l'exercice de sa profession ou dans l'administration de ses biens, aura causé ou aggravé son surendettement, aura causé sa propre insolvabilité ou aggravé sa situation alors qu'il se savait insolvable, s'il a été déclaré en faillite ou si un acte de défaut de biens a été dressé contre lui.</w:t>
      </w:r>
    </w:p>
    <w:p>
      <w:r>
        <w:rPr>
          <w:b/>
        </w:rPr>
        <w:t>E. 3.3</w:t>
      </w:r>
    </w:p>
    <w:p>
      <w:r>
        <w:t>En l’espèce, tant dans son introduction, que dans un grief d’établissement erroné et incomplet des faits, la recourante s’évertue à présenter sa version des faits, plus précisément son interprétation des événements, sans apporter le moindre indice tangible que G.________, Q.________ et C.________ auraient ourdi un complot à son encontre. En particulier, la société recourante se réfère à un courriel du 5 mai 2019, dont elle subodore que Q.________, G.________ et C.________ auraient sciemment 12J010</w:t>
      </w:r>
    </w:p>
    <w:p>
      <w:r>
        <w:t>- 20 - cherché à ne pas rémunérer B.________ Sàrl pour ses prestations, alors qu’ils se savaient redevables, et qu’ils auraient cherché à éviter des poursuites pénales en sachant que le comportement qu’ils adoptaient était contraire au droit pénal. Or, la lecture de ce courriel ne permet pas d’inférer une telle volonté des trois prénommés. Comme l’a d’ailleurs relevé la recourante elle- même, C.________ n’était pas partie à cet échange et le seul fait d’être cité dans le message ne permet à l’évidence pas de considérer qu’il aurait pu prendre part à l’hypothétique escroquerie contre B.________ Sàrl. Il ne suffit pas de dire qu’il fût « impossible que C.________ n’ait pas été informé ni n’ait été partie prenante des démarches », sans le moindre indice. Le fait que C.________ se soit rendu à diverses séances ne démontre pas le début de son implication dans les démarches liées à la signature des contrats. Enfin, quant aux infractions liées à la faillite, il eût fallu une créance de B.________ Sàrl et une diminution effective de l’actif de D.________ SA pour que dite créance soit fautivement non payée. Or, on l’a vu, aucune créance claire n’a été astucieusement écartée ou non honorée. La critique d’abus du pouvoir d’appréciation est la continuation du grief d’établissement erroné et incomplet des faits, partant suit le même sort. L’interprétation donnée par B.________ Sàrl aux événements, subjective et surtout a posteriori, ne peut objectivement pas être suivie. La Procureure n’a nullement apprécié les faits de manière erronée, la recourante se limite d’ailleurs à l’affirmer péremptoirement, sans avancer le moindre élément factuel concret. S’agissant en particulier de l’infraction d’escroquerie, la Procureure a retenu qu’aucune astuce ne pouvait être suspectée. Or, la recourante ne discute pas cet élément constitutif de l’infraction. La recourante répète qu’elle n’a pas fait preuve de légèreté, préférant imputer ses manquements à un « édifice de mensonges » de ses interlocuteurs. Or, le fait qu’elle a signé des contrats et amené des affaires « en pensant qu’elle serait rétribuée », couplé à la faillite de D.________ SA et à la création de L.________ SA, ne suffisent pas à imputer une tromperie de Q.________, G.________ et C.________. Le transfert de certains avoirs de D.________ SA à L.________ SA ne signifie pas que ce transfert a eu lieu au détriment de B.________ Sàrl. Il eût fallu une créance reconnue de cette dernière contre la première citée. La recourante n’indique d’ailleurs pas qu’elle aurait obtenu 12J010</w:t>
      </w:r>
    </w:p>
    <w:p>
      <w:r>
        <w:t>- 21 - des garanties ou des promesses des trois précités, ni une reconnaissance de créance. A ce sujet, le splitting évoqué dans le courriel du 5 mai 2019 n’apparaît nullement comme un accord, a fortiori signé. Les seuls courriels des 5 et 6 mai 2019 auxquels se réfère la recourante ne permettent pas de retenir une quelconque information erronée destinée à tromper B.________ Sàrl. Il en va de même de l’absence de qualité d’administrateur de C.________ dans D.________ SA. La recourante ne discute pas cet aspect. Ainsi, on ne peut que constater que la Procureure s’est fondée sur des éléments concrets à la lumière des éléments constitutifs des infractions entrant en ligne de compte pour examiner les faits dénoncés. En cherchant à faire reconnaître ce qu’elle a pu s’imaginer, la recourante part d’un postulat subjectif et non prouvé. En définitive, la Procureure n’a donc pas abusé de son pouvoir d’appréciation. L’insertion en page 11 du recours contre l’ordonnance de non- entrée en matière, selon laquelle « le refus initial de mettre M. C.________ en prévention paraît à ce point étrange que l’on vient à s’interroger sur les réels motifs ayant présidé à cette décision », n’a aucun sens sinon de laisser entendre que la Procureure serait elle aussi impliquée aux côtés de Q.________, G.________ et C.________. Cette remarque est dénuée de pertinence – voire déplacée – et ne fait que renforcer l’impression que la recourante se sent victime d’un complot. La recourante fait encore valoir – au demeurant en une ligne sans motivation dans le recours contre l’ordonnance de non-entrée en matière, ce qui rend la recevabilité de ce grief douteuse, mais de manière plus complète dans le recours contre l’ordonnance de classement – qu’une infraction à la LCD devrait aussi être reprochée aux trois intéressés (art. 5 cum 23 LCD). La critique est vaine, car l’infraction a été examinée par la Procureure qui l’a écartée d’emblée – à juste titre – faute de plainte à ce titre dans le délai (cf. art. 31 CP).</w:t>
      </w:r>
    </w:p>
    <w:p>
      <w:r>
        <w:rPr>
          <w:b/>
        </w:rPr>
        <w:t>E. 4</w:t>
      </w:r>
    </w:p>
    <w:p>
      <w:r>
        <w:t>Au vu de ce qui précède, les recours, manifestement mal fondés, doivent être rejetés sans échange d’écritures (art. 390 al. 2 CPP) et les ordonnances entreprises confirmées. 12J010</w:t>
      </w:r>
    </w:p>
    <w:p>
      <w:r>
        <w:t>- 22 - La recourante étant une personne morale, sa demande d’assistance judiciaire doit être rejetée. En effet, la jurisprudence exclut en principe le bénéfice de l’assistance judiciaire aux personnes morales, sauf si le litige concerne les actifs de la société et que les ayants droit économiques de cette dernière sont indigents (Moreillon/Parein-Reymond, Petit Commentaire, Code de procédure pénale, 3e éd., Bâle 2025, n. 4 ad art. 136 CPP). En l’occurrence, la recourante n’est pas en faillite, respectivement en liquidation. Les comptes de la société produits à titre de pièces justificatives font état de provisions de 2'929 fr., ce qui démontre qu’elle n’est elle-même pas indigente. Pour le surplus, les faits objets de sa plainte remontent à l’année 2019 et il n’est pas démontré que son ayant droit, F.________, ne se serait versé aucun salaire depuis lors. Quoi qu’il en soit, les recours étaient d’emblée dénués de chances de succès, de même que les conclusions civiles que la recourante aurait pu prendre (art. 136 al. 1 let. b CPP). A toutes fins utiles, on relèvera que, dans la mesure où elle ne remplit aucune des conditions posées à l’art. 433 CPP, il n’y a pas non plus lieu de lui allouer une quelconque indemnité à ce titre, ce d’autant qu’elle succombe. Les frais de la procédure de recours, constitués en l’espèce du seul émolument d’arrêt (art. 422 al. 1 CPP), par 2’310 fr. (art. 20 al. 1 TFIP [tarif des frais de procédure et indemnités en matière pénale du 28 septembre 2010 ; BLV 312.03.1]), seront mis à la charge de la recourante, qui succombe (art. 428 al. 1 CPP). L'avance de frais de 770 fr. qu’elle a versée à titre de sûretés sera imputée sur les frais d'arrêt mis à sa charge (art. 7 TFIP), le solde en faveur de l’Etat s’élevant ainsi à 1’540 francs. 12J010</w:t>
      </w:r>
    </w:p>
    <w:p>
      <w:r>
        <w:t>- 23 - Par ces motifs, la Chambre des recours pénale prononce : I. Les recours sont joints. II. Les recours sont rejetés. III. Les ordonnances du 17 octobre 2025 sont confirmées. IV. La demande d’assistance judiciaire est rejetée. V. Les frais d’arrêt, par 2'310 fr. (deux mille trois cent dix francs), sont mis à la charge de B.________ Sàrl. VI. Le montant de 770 fr. (sept cent septante francs) versé par B.________ Sàrl à titre de sûretés est imputé sur les frais mis à sa charge au chiffre V ci-dessus, et le solde dû à l’Etat par celle-ci s’élève à 1’540 fr. (mille cinq cent quarante francs). VII. L’arrêt est exécutoire. Le juge présidant : La greffière : Du Le présent arrêt, dont la rédaction a été approuvée à huis clos, est notifié, par l'envoi d'une copie complète, à : - Me Pierre Savoy, avocat (pour B.________ Sàrl), - Ministère public central, et communiqué à : - Me Nicolas Rivard, avocat (pour Q.________) - Me Yannis Sakkas, avocat (pour G.________), - Me Jean-David Pelot, avocat (pour M.B.________ et I.B.________), - Mme la Procureure de l’arrondissement de La Côte, - Service de la population, par l’envoi de photocopies. 12J010</w:t>
      </w:r>
    </w:p>
    <w:p>
      <w:r>
        <w:t>- 24 -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