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PE20.012824 vom 9. November 2020</w:t>
      </w:r>
    </w:p>
    <w:p>
      <w:r>
        <w:t>VD Tribunal cantonal, 2020-11-09, FR</w:t>
      </w:r>
    </w:p>
    <w:p>
      <w:r>
        <w:rPr>
          <w:b/>
        </w:rPr>
        <w:t xml:space="preserve">Quelle: </w:t>
      </w:r>
      <w:r>
        <w:t>https://mcp.opencaselaw.ch/entscheid/vd_gerichte_PE20.012824</w:t>
      </w:r>
    </w:p>
    <w:p>
      <w:r>
        <w:t>FR: VD_GERICHTE PE20.012824 du 9 novembre 2020</w:t>
      </w:r>
    </w:p>
    <w:p>
      <w:r>
        <w:t>IT: VD_GERICHTE PE20.012824 del 9 novembre 2020</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t>- 6.</w:t>
      </w:r>
    </w:p>
    <w:p>
      <w:r>
        <w:rPr>
          <w:b/>
        </w:rPr>
        <w:t>E. 1.2</w:t>
      </w:r>
    </w:p>
    <w:p>
      <w:r>
        <w:t>En l’espèce, interjeté en temps utile par le condamné et prévenu, qui a un intérêt juridique à l’annulation ou la modification de l’ordonnance entreprise (art. 382 al. 1 CPP), et dans les formes prescrites (art. 385 al. 1 CPP), le recours est recevable. Les pièces nouvelles produites sont également recevables (art. 390 al. 4 in fine CPP; CREP 9 juillet 2012/427 consid. 1b et les réf. citées).</w:t>
      </w:r>
    </w:p>
    <w:p>
      <w:r>
        <w:rPr>
          <w:b/>
        </w:rPr>
        <w:t>E. 2.1</w:t>
      </w:r>
    </w:p>
    <w:p>
      <w:r>
        <w:t>Le droit d'être entendu est une garantie de nature formelle, dont la violation entraîne en principe l'annulation de la décision attaquée, indépendamment des chances de succès du recours sur le fond (ATF 144 I 11 consid. 5.3 p. 17; ATF 143 IV 380 consid. 1.4.1 p. 386). Selon la jurisprudence, sa violation peut cependant être réparée lorsque la partie lésée a la possibilité de s'exprimer devant une autorité de recours jouissant d'un pouvoir d'examen complet en fait et en droit (ATF 145 I 167 consid. 4.4 p. 174; ATF 142 II 218 consid. 2.8.1 p. 226; TF 1C_396/2020 du 16 octobre 2020 consid. 2.3), comme tel est le cas de la Cour de céans (cf. art. 391 al. 1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tranchée dans un délai raisonnable (ATF 142 II 218 précité; ATF 137 I 195 précité; ATF 136 V 117 consid. 4.2.2.2).</w:t>
      </w:r>
    </w:p>
    <w:p>
      <w:r>
        <w:rPr>
          <w:b/>
        </w:rPr>
        <w:t>E. 2.2</w:t>
      </w:r>
    </w:p>
    <w:p>
      <w:r>
        <w:t>En l’espèce, la décision entreprise n’est pas motivée à satisfaction de droit, dans la mesure où les motifs indiqués se contentent de se référer à une autre procédure, que le jugement rendu le 10 décembre 2019 par le Tribunal correctionnel de l’arrondissement de Lausanne est passé sous silence et que le Ministère public ne se prononce pas sur les conditions d’application de l’art. 236 al. 1 CP, siège de la</w:t>
      </w:r>
    </w:p>
    <w:p>
      <w:r>
        <w:t>- 7. matière, en relation avec le traitement institutionnel des addictions ordonné par ce jugement. Solidement étayées, notamment sous l’angle de l’art. 236 al. 1 CPP, les déterminations du Ministère public du 30 octobre 2020 suppléent toutefois au défaut de motivation de la décision entreprise. Il n’y a donc pas matière à annuler l’ordonnance entreprise pour défaut de motivation, ce que le recourant ne soutient du reste pas, même à l’appui de sa conclusion subsidiaire en annulation.</w:t>
      </w:r>
    </w:p>
    <w:p>
      <w:r>
        <w:rPr>
          <w:b/>
        </w:rPr>
        <w:t>E. 3.1</w:t>
      </w:r>
    </w:p>
    <w:p>
      <w:r>
        <w:t>L’art. 60 al. 1 CP dispose que, lorsque l’auteur est toxico- dépendant ou qu’il souffre d’une autre addiction, le juge peut ordonner un traitement institutionnel aux conditions suivantes : (a) l’auteur a commis un crime ou un délit en relation avec cette addiction et (b) il est à prévoir que ce traitement le détournera d’autres infractions en relation avec cette addiction. Les conditions posées par l’art. 60 al. 1 CP sont cumulatives (Dupuis/Moreillon/Piguet/Berger/Mazou/Rodigari [éd.], Petit commentaire CP, 2e éd., Bâle 2017, n. 1 ad art. 60 CP, p. 425). Selon l’art. 62c al. 1 let. a CP, la mesure est levée si son exécution ou sa poursuite paraît vouée à l’échec. L’art. 236 al. 1 CPP prévoit que la direction de la procédure peut autoriser le prévenu à exécuter de manière anticipée une peine privative de liberté ou une mesure entraînant une privation de liberté si le stade de la procédure le permet. Comme le stipule expressément cette disposition, l’exécution anticipée peut non seulement porter sur une peine, mais également sur une mesure, par quoi il faut entendre les mesures institutionnelles des art. 59, 60 et 61 CP, à l’exclusion de l’internement (Viredaz, in : Jeanneret/Kuhn/Perrier Depeursinge [éd.], Code de procédure pénale suisse, Commentaire romand, 2e éd., Bâle 2019, n. 9 ad art. 236 CPP, p. 1512 et les réf. citées). Il va de soi que l’exécution anticipée d’une mesure ne doit être accordée que si une telle mesure sera vraisemblablement prononcée par l’autorité de jugement; pour ce faire, il faut qu’il existe des</w:t>
      </w:r>
    </w:p>
    <w:p>
      <w:r>
        <w:t>- 8. indices concrets qui permettent de déduire que cette sanction sera ordonnée (ATF 136 IV 65 consid. 2.2; TF 1B_599/2012 du 9 novembre 2013 consid. 2.2 et les réf. citées; Frei/Zuberbühler Elsässer, in : Donatsch/Lieber/Summers/Wohlers [éd.], Kommentar zur Schweizerischen Strafprozessordnung StPO [Zürcher Kommentar], 3e éd., Zurich 2020, n. 8 ad art. 236 StPO, p. 1861). S’il existe des doutes à cet égard, l’exécution anticipée de la mesure ne doit pas être ordonnée (TF 1B_599/2012 précité consid. 2.6).</w:t>
      </w:r>
    </w:p>
    <w:p>
      <w:r>
        <w:rPr>
          <w:b/>
        </w:rPr>
        <w:t>E. 3.2</w:t>
      </w:r>
    </w:p>
    <w:p>
      <w:r>
        <w:t>Le recourant soutient que sa toxicomanie est constante, durable et fortement ancrée, et que c’est pour se procurer des stupéfiants qu’il commet des infractions. Il en déduit que seule une mesure de traitement de son addiction au sens de l’art. 60 CP est susceptible de l’extraire de sa dépendance et de sa délinquance et que, partant, les conditions pour le prononcé d’une telle mesure sont remplies. S’agissant de la procédure en cours tendant à la levée de la mesure ordonnée le 10 décembre 2019 par le Tribunal correctionnel de l’arrondissement de Lausanne, il invoque que c’est dans le contexte du confinement et de la fermeture des ateliers de la Fondation des Oliviers dus à la pandémie de Covid-19 que ses difficultés sont apparues; étant sans domicile et sans logement à sa sortie de cette institution, sa rechute dans la délinquance était prévisible. Le Ministère public fait valoir pour sa part que le prévenu doit être entendu une nouvelle fois sur l’ensemble des faits qui lui sont reprochés, de sorte que le risque de collusion ne serait plus pertinent à ce stade de l’instruction et que seule l’exécution anticipée de la peine pourrait être envisagée. Le Ministère public ajoute qu’il a été invité, le 29 juin 2020, à se déterminer sur la procédure d’examen en vue de la levée du traitement institutionnel ordonné le 10 décembre 2019 et de l’exécution des peines privatives de liberté suspendues. Il indique avoir préavisé en faveur de la levée de la mesure et de l’exécution des peines privatives de liberté. A ce jour, le Juge d’application des peines n’a toutefois pas statué. Dès lors que le traitement institutionnel ordonné le 10 décembre 2019 est remis en question, il n’y aurait, toujours selon le</w:t>
      </w:r>
    </w:p>
    <w:p>
      <w:r>
        <w:t>- 9. Ministère public, aucune cohérence à autoriser ce jour l’exécution anticipée d’une mesure pour les nouveaux faits reprochés au prévenu. En revanche, si la mesure ordonnée le 10 décembre 2019 devait être maintenue, « la question de l’exécution anticipée d’une mesure pourrait être à nouveau envisagée ou le prévenu pourrait être libéré afin de poursuivre son traitement ».</w:t>
      </w:r>
    </w:p>
    <w:p>
      <w:r>
        <w:rPr>
          <w:b/>
        </w:rPr>
        <w:t>E. 3.3</w:t>
      </w:r>
    </w:p>
    <w:p>
      <w:r>
        <w:t>En l’espèce, comme exposé plus haut, pour octroyer l’exécution anticipée d’une mesure de traitement institutionnel des addictions, il doit être vraisemblable qu’elle soit prononcée par l’autorité de jugement, et qu’il existe des indices concrets en ce sens. Même si la nouvelle enquête est indépendante de la procédure portant sur la levée de la mesure de traitement institutionnel des addictions, il n’en reste pas moins que les infractions reprochées au prévenu pour une période durant laquelle il séjournait, respectivement était censé séjourner, à la Fondation des Oliviers permettent de douter qu’une mesure soit ordonnée. Tel est également le cas du fait que le recourant fasse l’objet d’une procédure tendant à la levée d’une mesure ordonnée précédemment. Certes, le recourant invoque des arguments en lien avec cette procédure; il n’appartient cependant pas à la Cour de céans de se substituer au Juge d’application des peines, mais seulement de constater qu’en l’état, il n’existe pas d’indice – par exemple une expertise – qui rendrait vraisemblable le prononcée d’une nouvelle mesure de traitement des addictions au sens de l’art. 60 CP, mais au contraire des circonstances qui permettent de douter d’un tel prononcé. Cela étant, si le Juge d’application des peines devait renoncer à lever la mesure, l’exécution anticipée de cette mesure pourrait être à nouveau envisagée, comme le relève à juste titre le Ministère public.</w:t>
      </w:r>
    </w:p>
    <w:p>
      <w:r>
        <w:rPr>
          <w:b/>
        </w:rPr>
        <w:t>E. 4</w:t>
      </w:r>
    </w:p>
    <w:p>
      <w:r>
        <w:t>En définitive, le recours doit être rejeté et l’ordonnance attaquée confirmée.</w:t>
      </w:r>
    </w:p>
    <w:p>
      <w:r>
        <w:t>- 10. Les frais de la procédure de recours, par 1’100 fr. (art. 20 al. 1 TFIP [tarif des frais de procédure et indemnités en matière pénale du 28 septembre 2010; BLV 312.03.1]), ainsi que les frais imputables à la défense d’office (art. 422 al. 1 et 2 let. a CPP), fixés à 790 fr. 95, montant arrondi à 791 fr., qui comprennent des honoraires par 720 fr., pour quatre heures d’activité d’avocat au tarif horaire de 180 fr., des débours forfaitaires par 14 fr. 40 (cf. art. 26b TFIP qui renvoie à l'art. 3bis RAJ [règlement sur l’assistance judiciaire en matière civile du 7 décembre 2010; BLV 211.02.3]) et la TVA sur le tout, au taux de 7,7%, par 56 fr. 55,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25 septembre 2020 est confirmée. III. L’indemnité allouée au défenseur d’office d’G.________ est fixée à 791 fr. (sept cent nonante et un francs). IV. Les frais d’arrêt, par 1’100 fr. (mille cent francs), ainsi que l’indemnité due au défenseur d’office d’G.________, par 791 fr. (sept cent nonante et un francs), sont mis à la charge de ce dernier. V. Le remboursement à l'Etat de l'indemnité allouée au chiffre III ci-dessus ne sera exigible que pour autant que la situation financière d’G.________ le permette. VI. L’arrêt est exécutoire.</w:t>
      </w:r>
    </w:p>
    <w:p>
      <w:r>
        <w:t>- 11. Le président : Le greffier : Du Le présent arrêt, dont la rédaction a été approuvée à huis clos, est notifié, par l'envoi d'une copie complète, à : - Me Alexandre Reymond, avocat (pour G.________),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