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PE20.012813 vom 1. September 2021</w:t>
      </w:r>
    </w:p>
    <w:p>
      <w:r>
        <w:t>VD Tribunal cantonal, 2021-09-01, FR</w:t>
      </w:r>
    </w:p>
    <w:p>
      <w:r>
        <w:rPr>
          <w:b/>
        </w:rPr>
        <w:t xml:space="preserve">Quelle: </w:t>
      </w:r>
      <w:r>
        <w:t>https://mcp.opencaselaw.ch/entscheid/vd_gerichte_PE20.012813</w:t>
      </w:r>
    </w:p>
    <w:p>
      <w:r>
        <w:t>FR: VD_GERICHTE PE20.012813 du 1 septembre 2021</w:t>
      </w:r>
    </w:p>
    <w:p>
      <w:r>
        <w:t>IT: VD_GERICHTE PE20.012813 del 1 settembre 2021</w:t>
      </w:r>
    </w:p>
    <w:p>
      <w:pPr>
        <w:pStyle w:val="Heading2"/>
      </w:pPr>
      <w:r>
        <w:t>Erwägungen</w:t>
      </w:r>
    </w:p>
    <w:p>
      <w:r>
        <w:rPr>
          <w:b/>
        </w:rPr>
        <w:t>E. 4</w:t>
      </w:r>
    </w:p>
    <w:p>
      <w:r>
        <w:t>Le Ministère public conclut à la condamnation de U.________ pour vol par métier et violation de domicile. L’intimé, qui se limite à contester les faits, n’a pas argumenté à cet égard.</w:t>
      </w:r>
    </w:p>
    <w:p>
      <w:r>
        <w:rPr>
          <w:b/>
        </w:rPr>
        <w:t>E. 4.1</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L'auteur doit avoir agi à plusieurs reprises, avoir eu l'intention d'obtenir un revenu et être prêt à réitérer ses agissements (ATF 119 IV 129 consid. 3 p. 133). Il n'est pas nécessaire que ceux-ci constituent sa « principale activité professionnelle » ou qu'il les ait commis dans le cadre de sa profession ou de son entreprise légale. Une activité « accessoire » illicite peut aussi être</w:t>
      </w:r>
    </w:p>
    <w:p>
      <w:r>
        <w:t>- 24 - exercée par métier (ATF 116 IV 319 consid. 4b p. 331). Contrairement à la circonstance qualifiée prévue en matière de stupéfiants et de blanchiment d'argent (art. 19 al. 2 let. c LStup; art. 305bis ch. 2 let. c CP; cf. ATF 129 IV 188 consid. 3.1.2 p. 190 ss), l'aggravation du vol par métier n'exige ni chiffre d'affaires ni gain importants (TF 6B_104312017 du 14 août 2018 consid. 1.1). Pour admettre le métier, il suffit de constater que l'auteur manifeste un certain professionnalisme (Papaux, in : Macaluso/Moreillon/Queloz [éd.], Commentaire romand, Code pénal Il, Art. 111-392 CP, Bâle 2017, n. 65 ad art. 139 CP).</w:t>
      </w:r>
    </w:p>
    <w:p>
      <w:r>
        <w:rPr>
          <w:b/>
        </w:rPr>
        <w:t>E. 4.2</w:t>
      </w:r>
    </w:p>
    <w:p>
      <w:r>
        <w:t>En l’espèce, la circonstance aggravante du métier doit être retenue. En effet, l’intéressé s’est rendu coupable de vol, a agi de façon répétée dans l’intervalle d’une année et a ainsi pu obtenir des gains substantiels, qui ne peuvent qu’avoir servi à financer son train de vie. Il ne fait en outre aucun doute qu’il aurait réitéré ses agissements s’il n’avait pas été inquiété. L'intimé doit donc être condamné pour vol par métier et violation de domicile, sauf pour le cas 3, faute de plainte valable.</w:t>
      </w:r>
    </w:p>
    <w:p>
      <w:r>
        <w:rPr>
          <w:b/>
        </w:rPr>
        <w:t>E. 5</w:t>
      </w:r>
    </w:p>
    <w:p>
      <w:r>
        <w:t>Le Ministère public a conclu au prononcé d’une peine privative de liberté de 12 mois. L’intimé, qui se limite à contester les faits, n’a pas argumenté à cet égard.</w:t>
      </w:r>
    </w:p>
    <w:p>
      <w:r>
        <w:rPr>
          <w:b/>
        </w:rPr>
        <w:t>E. 5.1.1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- 25 -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5.1.2</w:t>
      </w:r>
    </w:p>
    <w:p>
      <w:r>
        <w:t>Les art. 5 CPP et 29 al. 1 Cst. (Constitution fédérale de la Confédération suisse du 18 avril 1999 ; RS 101)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JdT 2018 IV 146 ; cf. ATF 130 I 312 consid. 5.1, JdT 2006 1190, SJ 2005 I 226). La violation du principe de la célérité peut avoir pour conséquence la diminution de la peine, parfois l'exemption de toute peine ou encore une ordonnance de classement en tant qu'ultima ratio dans les cas les plus extrêmes (ATF 143 IV 373 consid. 1.4.1 ; ATF 135 IV 12 consid. 3.6, JdT 2010 IV 139 ; TF 66_1086/2019 du 6 mai 2020 consid. 7.3.1).</w:t>
      </w:r>
    </w:p>
    <w:p>
      <w:r>
        <w:rPr>
          <w:b/>
        </w:rPr>
        <w:t>E. 5.1.3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w:t>
      </w:r>
    </w:p>
    <w:p>
      <w:r>
        <w:t>- 26 -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 TF 6B_631/2021 du 7 février 2022 consid. 1.2 ; TF 6B_183/2021 du 27 octobre 2021 consid. 1.3).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ATF 144 IV 217 consid. 2.2 ; ATF 138 IV 120 consid. 5.2). Si les sanctions envisagées concrètement ne sont pas du même genre, elles doivent être prononcées cumulativement (ATF 144 IV 313 consid. 1.1 ; ATF 144 IV 217, JdT 2018 IV 335 ; ATF 142 IV 265 consid. 2.3.2 ; ATF 138 IV 120 consid. 5.2 ; ATF 137 IV 57 consid. 4.3.1).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t>- 27 -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(ATF 142 IV 329 consid. 1.4.1 ; ATF 142 IV 265 consid. 2.3.3). Le prononcé d'une peine complémentaire suppose que les conditions d'une peine d'ensemble au sens de l'art. 49 al. 1 CP soient réunies.</w:t>
      </w:r>
    </w:p>
    <w:p>
      <w:r>
        <w:rPr>
          <w:b/>
        </w:rPr>
        <w:t>E. 5.2</w:t>
      </w:r>
    </w:p>
    <w:p>
      <w:r>
        <w:t>En l’espèce, le prévenu a agi sans scrupules et par appât du gain au préjudice de plusieurs victimes. Il n’a pas hésité à s’en prendre aux outils et/ou matériaux nécessaires au travail de personnes honnêtes, alors que lui-même avait un emploi. Il a en outre agi à réitérées reprises en l’espace de moins d’un an. Sa collaboration à l’enquête a été mauvaise. La culpabilité de U.________ est ainsi importante et on ne discerne pas d’élément à décharge. Il y a toutefois lieu de tenir compte du fait que la procédure d’appel a subi un retard important (plus de neuf mois) en raison d’une erreur non imputable à l’intéressé, en violation du principe de célérité. C’est une peine privative de liberté qui devra venir sanctionner les infractions commises, les peines précédemment prononcées contre l’intéressé – certes dans d’autres domaines – n’ayant eu aucun effet. L’infraction la plus grave, soit le vol par métier, sera punie d’une peine privative de liberté de 9 mois. Cette peine sera augmentée par l’effet du concours de</w:t>
      </w:r>
    </w:p>
    <w:p>
      <w:r>
        <w:rPr>
          <w:b/>
        </w:rPr>
        <w:t>E. 10</w:t>
      </w:r>
    </w:p>
    <w:p>
      <w:r>
        <w:t>jours pour chacune des trois violations de domicile, la peine d’ensemble étant dès lors arrêtée à 10 mois. Cette peine tient en outre compte du fait que les 4 premiers cas sont antérieurs à la condamnation de l’intéressé, le 19 mai 2020, à une peine privative de liberté de 50 jours pour infraction grave à la LCR, la présente condamnation étant dès lors partiellement complémentaire à celle prononcée par le Ministère public de l’arrondissement de Lausanne.</w:t>
      </w:r>
    </w:p>
    <w:p>
      <w:r>
        <w:t>- 28 - L’intimé n’a pas, à juste titre, conclu à l’octroi du sursis. Il ne remplit en effet pas les conditions de l’art. 42 al. 1 CP, le pronostic étant résolument défavorable, en raison de l’absence totale de prise de conscience de l’intéressé et de son ancrage durable dans la délinquance, ainsi qu’en témoigne son casier judiciaire, faisant état de diverses condamnations dans toutes sortes de domaines. 6. Le Ministère public a conclu à l’expulsion de U.________ du territoire suisse pour une durée de 8 ans. L’intimé, qui se limite à contester les faits, n’a pas argumenté sur ce point. 6.1 Selon l'art. 66a CP, l'expulsion du territoire suisse pour une durée de cinq à quinze ans doit être ordonnée à l'égard de l'étranger qui est condamné pour l'une des infractions énumérées aux lettres a à o de cette disposition, quelle que soit la quotité de la peine prononcée à son encontre. Tel est, en particulier, le cas du vol en lien avec une violation de domicile (art. 66a al. 1 let. d CP).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la proportionnalité. Elle doit être appliquée de manière restrictive (ATF 144 IV 332 consid. 3.3.1). Selon la jurisprudence du Tribunal fédéral (cf. ATF 144 IV 332 consid. 3.3.2),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w:t>
      </w:r>
    </w:p>
    <w:p>
      <w:r>
        <w:t>- 29 - 142.20),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p. 340 s. ; TF 6B_1417/2019 du 13 mars 2020 consid. 2.1.1).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6B_1417/2019 précité consid. 2.1.1; TF 6B_50/2020 du 3 mars 2020 consid. 1.3.1). 6.2 En l’espèce, le prévenu a commis des infractions qui tombent sous le coup de l'art. 66a al. 1 CP, soit des vols avec violation de domicile, de sorte que son expulsion obligatoire doit être prononcée. Il ne remplit par ailleurs pas les conditions de l’art. 66a al. 2 CP, dont il ne se prévaut pas, à juste titre. Ressortissant portugais, l’intéressé se trouve en Suisse depuis 37 ans. Il est actuellement censé être à la retraite et il a une maison au Portugal, pays dont il parle la langue et dans laquelle il a de la famille. Il a déclaré souhaiter aller s’établir dans son pays d’origine dès qu’il serait à la retraite (cf. PV aud. 3 pp. 3-4). Il est séparé de son épouse et ses enfants sont majeurs. Son casier judiciaire comporte en outre de nombreuses inscriptions, ce qui démontre qu’il est incapable de se conformer à l’ordre juridique suisse. Son intérêt privé à demeurer en Suisse est inexistant et l’intérêt public à son expulsion prépondérant. On ne discerne en outre pas que son renvoi le mette dans une situation personnelle grave.</w:t>
      </w:r>
    </w:p>
    <w:p>
      <w:r>
        <w:t>- 30 - Ainsi, l'expulsion de U.________ doit être prononcée, pour la durée requise par le Ministère public, qui est adéquate, soit 8 ans. 7. Le Ministère public a conclu à l'admission des conclusions civiles prises par D.________ et J.________. Cette conclusion est toutefois irrecevable, le Ministère public disposant de la qualité pour recourir sur tous les points de la décision attaquée, à l’exception des conclusions civiles (ATF 139 IV 199 consid. 4 et les références citées). Les plaignants concernés n’ont au demeurant pas pris de conclusions dans le cadre d’un appel ou d’un appel joint. 8. Dans la mesure où le prévenu est condamné pour tous les cas contenus dans l’acte d’accusation, à l’exception de l’infraction de violation de domicile concernant la déchetterie de la commune d’[...] – prévention qui n’a toutefois impliqué aucun frais de procédure supplémentaire ou indépendant, et qui devrait de toute manière donner lieu à l’application de l’art. 426 al. 2 CPP –, il se justifie de mettre l’entier des frais de première instance, par 3’850 fr., montant comprenant l’indemnité allouée à son défenseur d’office, à sa charge, en application de l’art. 426 al. 1 CPP. 9. Au vu de ce qui précède, l’appel doit être partiellement admis et le jugement entrepris réformé dans le sens des considérants qui précèdent. Le défenseur d’office de U.________ a produit en audience une liste d’opérations dont il n’y a pas lieu de s’écarter, si ce n’est pour y ajouter le temps consacré à l’audience d’appel. C’est ainsi une indemnité de 2'073 fr. 65 qui sera allouée à Me Filip Banic pour la procédure d’appel, correspondant à 9,83 heures d’avocat au tarif horaire de 180 fr., à 35 fr. 40 de débours au taux forfaitaire de 2% - et non 5%, ce taux étant uniquement applicable en</w:t>
      </w:r>
    </w:p>
    <w:p>
      <w:r>
        <w:t>- 31 - première instance (cf. art. 3bis al. 1 RAJ [Règlement sur l’assistance judiciaire en matière civile du 7 décembre 2010; BLV 211.02.3], applicable par renvoi de l’art. 26b TFIP [Tarif des frais de procédure et indemnités en matière pénale du 28 septembre 2010; BLV 312.03.1]). –, à 120 fr. de vacation et à 148 fr. 25 de TVA. Vu l’issue de la cause, les frais de la procédure d’appel, par 4'783 fr. 65, constitués des émoluments de jugement et d’audience (art. 21 al. 1 et 2 TFIP), par 2’710 fr., ainsi que de l’indemnité d’office précitée, seront mis à la charge de U.________, qui succombe (art. 428 al. 1 CPP), l’appel du Ministère public étant uniquement rejeté sur des points de détail. U.________ ne sera tenu de rembourser à l’Etat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