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PE20.012776 vom 24. Januar 2022</w:t>
      </w:r>
    </w:p>
    <w:p>
      <w:r>
        <w:t>VD Tribunal cantonal, 2022-01-24, FR</w:t>
      </w:r>
    </w:p>
    <w:p>
      <w:r>
        <w:rPr>
          <w:b/>
        </w:rPr>
        <w:t xml:space="preserve">Quelle: </w:t>
      </w:r>
      <w:r>
        <w:t>https://mcp.opencaselaw.ch/entscheid/vd_gerichte_PE20.012776</w:t>
      </w:r>
    </w:p>
    <w:p>
      <w:r>
        <w:t>FR: VD_GERICHTE PE20.012776 du 24 janvier 2022</w:t>
      </w:r>
    </w:p>
    <w:p>
      <w:r>
        <w:t>IT: VD_GERICHTE PE20.012776 del 24 gennaio 2022</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w:t>
      </w:r>
    </w:p>
    <w:p>
      <w:r>
        <w:rPr>
          <w:b/>
        </w:rPr>
        <w:t>E. 2.1</w:t>
      </w:r>
    </w:p>
    <w:p>
      <w:r>
        <w:t>Le recourant soutient que les conditions de l’art. 310 CPP ne seraient pas réunies puisque le caractère manifeste de l’absence de comportement punissable, de même que la limpidité des faits feraient défaut. Le procureur se serait livré à une appréciation circonstanciée des faits, de sorte qu’il aurait dû ouvrir une instruction pénale, comme il l’avait fait concernant les autres faits qui ont fait l’objet d’une ordonnance de classement. Il soutient qu’il aurait alors été privé de la possibilité de présenter d’éventuelles réquisitions de preuve complémentaires, ce qui consacrerait une violation de son droit d’être entendu.</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- 5 -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En l’espèce, il est exact que pour rendre l’ordonnance de non- entrée en matière contestée, le procureur s’est fondé sur les faits instruits dans le cadre de la procédure pénale ayant conduit à l’ordonnance de classement du 14 décembre 2021, c’est-à-dire des éléments dont il disposait déjà. Il s’agit d’ailleurs du même complexe de faits et du même dossier. On ne voit pas pourquoi il n’aurait pas pu procéder ainsi. Au surplus, le recourant n’indique pas quelles réquisitions de preuves il aurait</w:t>
      </w:r>
    </w:p>
    <w:p>
      <w:r>
        <w:t>- 6 - pu présenter si une instruction avait été ouverte s’agissant des faits litigieux, de sorte que le grief de violation du droit d’être entendu doit être écarté. De même, on ne voit pas la portée du reproche au procureur d’avoir procédé à « une appréciation circonstanciée des faits », puisqu’en général, c’est plutôt l’absence d’une telle appréciation qui est critiquée. Le procureur pouvait donc rendre une ordonnance de non-entrée en matière, dès lors que les conditions de l’ouverture d’une action pénale n’étaient manifestement pas réunies, comme on le verra par la suite (cf. infra consid. 3.3).</w:t>
      </w:r>
    </w:p>
    <w:p>
      <w:r>
        <w:rPr>
          <w:b/>
        </w:rPr>
        <w:t>E. 3.1</w:t>
      </w:r>
    </w:p>
    <w:p>
      <w:r>
        <w:t>Le recourant reproche au procureur d’avoir procédé à une constatation incomplète ou erronée des faits et d’avoir violé l’art. 303 CP.</w:t>
      </w:r>
    </w:p>
    <w:p>
      <w:r>
        <w:rPr>
          <w:b/>
        </w:rPr>
        <w:t>E. 3.2.1</w:t>
      </w:r>
    </w:p>
    <w:p>
      <w:r>
        <w:t>Une constatation est incomplète lorsque les faits pertinents ne figurent pas dans la décision attaquée ; elle est erronée (ou inexacte) lorsqu’elle est contredite par une pièce probante au dossier, ou par une autre preuve, ou lorsque l’autorité de recours ne peut déterminer comment le droit a été appliqué (Sträuli, in : Kuhn/Jeanneret [édit.], Commentaire romand, Code de procédure pénale suisse, 2e éd., Bâle 2019, nn. 78-80 ad art. 393 CPP et les réf. cit.).</w:t>
      </w:r>
    </w:p>
    <w:p>
      <w:r>
        <w:rPr>
          <w:b/>
        </w:rPr>
        <w:t>E. 3.2.2</w:t>
      </w:r>
    </w:p>
    <w:p>
      <w:r>
        <w:t>L’infraction de dénonciation calomnieuse de l’art. 303 CP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(art. 303 ch. 1 al. 1 et 2 CP). Sur le plan objectif, cette norme suppose qu’une communication imputant faussement à une personne la commission d’un</w:t>
      </w:r>
    </w:p>
    <w:p>
      <w:r>
        <w:t>- 7 -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alii, Petit commentaire du Code pénal, 2e éd., Bâle 2017, n. 18 ad art. 303 CP et les références). Est considéré comme innocent notamment celui qui a été libéré par jugement d’acquittement ou par le prononcé d’un non-lieu (ATF 136 IV 170 consid. 2.1 ; Dupuis et alii, op. cit., n. 21 ad art. 303 CP et les références).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(ATF 136 IV 170 consid. 2.1 ; TF 6B_32/2011 du 24 février 2011 consid. 1.1 ; Dupuis et alii, op. cit., nn. 22-23 ad art. 303 CP).</w:t>
      </w:r>
    </w:p>
    <w:p>
      <w:r>
        <w:rPr>
          <w:b/>
        </w:rPr>
        <w:t>E. 3.3</w:t>
      </w:r>
    </w:p>
    <w:p>
      <w:r>
        <w:t>En l’espèce, les différentes accusations de propos injurieux auxquelles le recourant se réfère ont été retenues globalement dans le cadre de l’ordonnance de classement rendue le 14 décembre 2021. Le témoin H.________, que le recourant considère comme particulièrement crédible, a en effet confirmé avoir entendu des insultes de part et d’autre (PV aud. 4 R. 4). Dans ces conditions, on peut exclure de fausses accusations s’agissant des injures qui auraient été proférées. S’agissant de l’accusation de menace, H.________ a affirmé avoir entendu D.________ déclarer à N.________ : « heureusement que ta femme et tes enfants sont là » (PV aud. 4 R. 4 et 12), ce qui démontre l’existence de propos à la limite des menaces et exclut par conséquent la volonté de N.________ d’accuser un innocent. Par ailleurs, comme l’a retenu le Ministère public, il semble que N.________ ait eu des raisons suffisantes de penser que le recourant l’aurait faussement accusé d’avoir fait appel à la police. Le</w:t>
      </w:r>
    </w:p>
    <w:p>
      <w:r>
        <w:t>- 8 - témoin H.________ a en effet confirmé que N.________ semblait avoir été accusé de cet appel et qu’il avait cru ce dernier lorsqu’il avait démenti ces allégations (PV aud. 4 R. 22). Contrairement à ce que le recourant pense, le fait qu’une ordonnance de classement ait été rendue à son égard ne suffit pas à constituer l’infraction de l’art. 303 CP. En définitive, l’appréciation du procureur ne prête pas le flanc à la critique et doit être partagée.</w:t>
      </w:r>
    </w:p>
    <w:p>
      <w:r>
        <w:rPr>
          <w:b/>
        </w:rPr>
        <w:t>E. 4</w:t>
      </w:r>
    </w:p>
    <w:p>
      <w:r>
        <w:t>En définitive, le recours, manifestement mal fondé, doit être rejeté sans échange d'écritures (art. 390 al. 2 CPP) et l'ordonnance de non-entrée en matière du 9 décembre 2021 confirmée. Les frais de la procédure de recours, constitués en l’espèce du seul émolument d'arrêt, par 880 fr. (art. 20 al. 1 TFIP [tarif des frais judiciaires et indemnités en matière pénale ; BLV 312.03.1]), seront mis à la charge du recourant, qui succombe (art. 428 al. 1 CPP). Par ces motifs, la Chambre des recours pénale prononce : I. Le recours est rejeté. II. L’ordonnance du 9 décembre 2021 est confirmée. III. Les frais de la procédure de recours, par 880 fr. (huit cent huitante francs), sont mis à la charge de D.________. IV. L’arrêt est exécutoire. Le président : La greffière :</w:t>
      </w:r>
    </w:p>
    <w:p>
      <w:r>
        <w:t>- 9 - Du Le présent arrêt, dont la rédaction a été approuvée à huis clos, est notifié, par l'envoi d'une copie complète, à : - Me Christoph Loetscher, avocat (pour D.________), - Me Tiphanie Chappuis, avocate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