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PE20.012708 vom 8. Mai 2023</w:t>
      </w:r>
    </w:p>
    <w:p>
      <w:r>
        <w:t>VD Tribunal cantonal, 2023-05-08, FR</w:t>
      </w:r>
    </w:p>
    <w:p>
      <w:r>
        <w:rPr>
          <w:b/>
        </w:rPr>
        <w:t xml:space="preserve">Quelle: </w:t>
      </w:r>
      <w:r>
        <w:t>https://mcp.opencaselaw.ch/entscheid/vd_gerichte_PE20.012708</w:t>
      </w:r>
    </w:p>
    <w:p>
      <w:r>
        <w:t>FR: VD_GERICHTE PE20.012708 du 8 mai 2023</w:t>
      </w:r>
    </w:p>
    <w:p>
      <w:r>
        <w:t>IT: VD_GERICHTE PE20.012708 del 8 maggio 2023</w:t>
      </w:r>
    </w:p>
    <w:p>
      <w:pPr>
        <w:pStyle w:val="Heading2"/>
      </w:pPr>
      <w:r>
        <w:t>Erwägungen</w:t>
      </w:r>
    </w:p>
    <w:p>
      <w:r>
        <w:rPr>
          <w:b/>
        </w:rPr>
        <w:t>E. 11</w:t>
      </w:r>
    </w:p>
    <w:p>
      <w:r>
        <w:t>octobre 2019, soit six jours après les faits, l’Unité de médecine des violences du Centre Universitaire Romand de Médecine Légale (CURML) a établi un constat médical (P. 5/1). Ce rapport ne fait pas état d’ecchymoses caractérisées au niveau de la tête et du cou mais tout au plus de rougeurs (« zones érythémateuses ») au sein du cuir chevelu. Quatre traces sont décrites comme étant des « ecchymoses jaune brunâtre » au niveau du bras gauche, de la fesse droite et de la cuisse droite et une discrète décoloration de 0.3 centimètres de diamètre est reportée au niveau du sein droit. La plaignante a produit à l’appui de sa plainte neuf photographies d’elle-même, prises par ses soins les 5 et 8 octobre 2019 (P. 5/3). Ces images ne montrent pas de traces flagrantes de violence. Aucune ecchymose ou trace de coup n'a en outre été relevée par les agents de police ayant recueilli la plaignante le matin du 5 octobre 2019 (P. 8, p. 3). Auditionné par la police le 27 octobre 2020, N.________ a évoqué un « léger bleu » vers la mâchoire qui n’était pas très apparent et avoir constaté, quelques jours après les faits, un bleu sur la nuque de la plaignante (PV aud. 2, R. 5, p. 4). Lors de son audition du 11 mai 2021, la mère de celle-ci, [...], a déclaré avoir vu sa fille « un ou deux jours après les évènements » et qu’elle présentait alors des « bleus sous les yeux […] comme des coquards sous les deux yeux », que « son visage était enflé » et « elle avait un gros bleu sur la pommette », un « gros bleu qui allait de la pommette jusque sous la bouche […] vraiment assez important », des « bleus au niveau du cou […] assez rouge », une « rougeur au bas de la nuque, en partie dans les cheveux », un « bleu en bas du dos », un « bleu sur son bras », un « bleu sur sa poitrine ». Ces déclarations doivent néanmoins être appréciées avec circonspection, dès lors que, outre le fait qu’elles émanent de la mère de la plaignante, la plupart des marques évoquées ne correspondent ni aux constats médicaux à disposition, ni aux photographies produites. Certaines marques sont mêmes contredites par la plaignante elle-même, comme les coquards sous les yeux (cf. jugement, p. 13).</w:t>
      </w:r>
    </w:p>
    <w:p>
      <w:r>
        <w:t>- 30 - D’un point de vue médical, et compte tenu du récit de l’appelante, les éléments de preuve développés ci-dessus ne permettent pas de corroborer sa version, soit qu’elle aurait été victime d’une agression, de gifles à répétition, d’un étranglement avec une ceinture au point qu’elle a cru en mourir et qu’elle a vu des étoiles et d’un viol avec maintien par la force. Il y a une certaine difficulté à concevoir que, à la suite des faits relatés par l’appelante, aucune trace usuelle de violence ou de strangulation n’ait été observée par les deux médecins urgentistes qui l’ont examinée les 5 et 11 octobre 2019, alors même que le motif de consultation – soit coups et blessures après une agression – avait été annoncé. Les légères traces relevées apparaissent bénignes et pourraient avoir été causées par n’importe quel faux mouvement de la vie quotidienne. A cela s’ajoute que la plaignante pratiquait la boxe au moment des faits (PV aud. 4, l. 522) et que le témoin E.________ a confirmé qu’il lui était déjà arrivé de constater des marques sur le corps de la plaignante après des entraînements de boxe. Il a par ailleurs précisé que celle-ci pratiquait la boxe thaïlandaise (PV aud. 8, ll. 108-113), catégorie de boxe incluant les coups de poings, de pieds, de coudes et de genoux. L’appelante décrit un véritable passage à tabac par le prévenu, alors que simultanément, et durant toute la soirée, elle affirme avoir été en contact avec son ex-compagnon, N.________, par message et par téléphone (PV aud. 1, R. 5, p. 4 ; PV aud. 4, ll. 362-378 ; jugement, pp. 10-11 ; extraction des conversations Whatsapp du téléphone de la plaignante). Pourtant, à aucun moment elle n’évoque à celui-ci les sévices physiques et sexuelles qu’elle serait en train de subir ou qu’elle aurait subis. Elle prétend en particulier, alors qu’elle se trouvait devant le miroir avec une ceinture autour du cou, avoir téléphoné à N.________, ce que le prévenu aurait accepté, et qu’ils auraient échangé des « banalités » (PV aud. 4, ll. 191-194). Elle admet en outre avoir toujours eu son téléphone portable en mains ou dans sa poche durant l’intégralité des faits (cf. supra, p. 4). L’appelante était ainsi en tout temps en mesure d’appeler à l’aide. Elle le fait uniquement et implicitement à 00h43 en déclarant à N.________ par message « je me suis fais tabassée et toi t as eteins (sic) », elle ne mentionne néanmoins pas de violence sexuelle et, surtout, ne</w:t>
      </w:r>
    </w:p>
    <w:p>
      <w:r>
        <w:t>- 31 - répond pas à ce dernier lorsqu’il lui dit qu’il vient la chercher à 00h52 (PV aud. 1, annexe 5). Les messages échangés entre N.________ et l’appelante les 4 et 5 octobre 2019 établissent que celle-ci a effectivement, et comme l’a formulé le tribunal de première instance, « joué au chat et à la souris » avec son ex-compagnon (cf. jugement, p. 28). Le 5 octobre 2019, N.________ a insisté par messages à de nombreuses reprises pour que l’appelante lui dise où elle se trouvait afin qu’il vienne la chercher, celle-ci refusant constamment de le lui indiquer et lui demandant notamment à 09h01 de ne rien dire à la police car elle ne voulait pas « d’emmerde ». Entre 06h54 et 09h09, N.________ a demandé à sept reprises à la plaignante de lui transmettre sa géolocalisation, avant que celle-ci accepte enfin (cf. CD-R versé sous fiche n° 11'180). Ces comportements de la plaignante sont difficilement compréhensibles, ce d’autant qu’elle semble croire, lors de son audition du 11 mars 2021, que c’est son ex-amant qui avait refusé de venir la chercher (PV aud. 4, l. 470). On mentionnera encore que N.________ a déclaré qu’au téléphone, la plaignante « ne bafouillait pas, elle parlait normalement », même si elle était « bizarre » (PV aud. 2, R. 5, p. 3). Ce constat est en opposition totale avec les propres déclarations de l’appelante qui évoque un état de panique et de peur lorsqu’elle a appelé N.________, la ceinture autour du cou (PV aud. 4, ll. 195-196). Du reste, s’agissant de cet épisode, qui aurait duré une heure selon l’appelante, et durant lequel l’intimé l’aurait promenée à travers la pièce et devant le miroir, en serrant et desserrant « en continu » (PV aud. 1, R. 5, p. 4), il y a lieu de relever que celui-ci était en contact quasi- permanent par messages avec des personnes tierces entre 22h17 le 4 octobre et 00h35 le 5 octobre 2019 (P. 99/1). L’appelante explique que la violence des faits a créé chez elle un état de sidération. Dans son acte d’appel, elle évoque un état dissociatif, qui permettrait, le cas échéant, de scinder ses comportements en deux phases, l’une traumatique et l’autre connectée à des comportements cohérents, dès lors qu’ils sont étrangers aux actes subis, répondant à une autre zone du cerveau qui demeurerait active, sans être en mesure d’expliquer son choix. Toutefois, les nombreux messages et appels téléphoniques échangés entre l’appelante et N.________, qui durent</w:t>
      </w:r>
    </w:p>
    <w:p>
      <w:r>
        <w:t>- 32 - toute la soirée et la nuit, sont incompatibles avec un tel état. On observe à teneur des échanges qu’elle entretient des conversations suivies et cohérentes avec son ex-amant. A l’instar des premiers juges, la Cour de céans considère que l’ensemble des messages envoyés par l’appelante cette nuit-là démontre qu’elle savait ce qu’elle faisait et ce qu’elle disait, en particulier pour faire réagir N.________ (messages de 22h11 : « tu me fais pas de mal si tu veux des enfants » ; « mais les choses sont ainsi » ; « donc tu dois te défaire de ça » ; « j’ai pas d’autres possibilités et tu le sais » ; « je dois me faire à l idée d’une vie sans [...] et c’est comme ça » ; « tu nous as imposé ça » ; « bonne baise… », de 00h21, 00h30 et 00h43 : « alors ? » ; « répond » ; « t es salaud » ; « tu me laisse comme ça (sic) » ; « je me suis fais tabassée et toi t as eteins (sic) », de 00h52 : « laisse moi tranquille (sic) » ; « va niquer (sic) », et notamment de 00h54 où elle refuse d’indiquer où elle se trouve). Le matin du 5 octobre 2019, l’appelante a quitté sans difficulté le logement de l’intimé lorsqu’elle s’est décidée à le faire. Elle a expliqué être montée à l’étage, avoir pris son manteau ainsi que la clef qui se trouvait dans le panier sur le meuble d’entrée et être sortie, précisant que cela c’était fait « assez rapidement » et qu’elle n’avait pas dû trop chercher la clef (PV aud. 4, ll. 473-476). Là encore, son comportement est en contradiction avec l’état de détresse psychologique dans lequel elle explique s’être trouvée et qui l’aurait amené à s’uriner et à se déféquer dessus. Par ailleurs, elle a précisé elle-même que le prévenu lui avait laissé le libre choix de partir au cours de la nuit et qu’il avait même entamé des démarches pour lui commander un UBER, mais qu’elle avait finalement renoncé à partir, alors même qu’elle savait que N.________ l’attendait à la gare de [...]. Elle a justifié ce choix par le fait que le prévenu lui aurait fortement déconseillé de partir (PV aud. 1, R. 5, p. 5). Celui-ci a néanmoins expliqué avoir dit à la plaignante que si elle partait, il ne fallait pas qu’elle revienne vers lui, puisque selon lui, elle allait rejoindre son ex-compagnon à qui elle avait écrit durant la soirée (PV aud. 4, ll. 149-152). Quoi qu’il en soit, le comportement de la plaignante est ici encore une fois peu compréhensible. Elle avait la possibilité de mettre fin</w:t>
      </w:r>
    </w:p>
    <w:p>
      <w:r>
        <w:t>- 33 - à ses prétendues souffrances et a refusé, alors que l’intimé lui aurait laissé le choix, sans la menacer (PV aud. 4, l. 272). Fondée sur ce qui précède, après avoir apprécié les déclarations des parties à l’aune des autres éléments du dossier, la Cour de céans considère qu’un doute essentiel subsiste tant sur ce qui s’est véritablement passé entre l’appelante et l’intimé dans la nuit du 4 au 5 octobre 2019, que, le cas échéant, sur le consentement de celle-ci quant aux actes qui seraient intervenus et sur le caractère contraignant de ceux- ci. Certes, le prévenu a évolué dans ses déclarations et a « péniblement et du bout des lèvres » expliqué le déroulement de cette soirée. Toutefois les constats médicaux effectués sur l’appelante à la suite des faits sont en contradiction avec la version qu’elle expose ainsi que les nombreux sévices qu’elle dit avoir subis. En outre, à teneur des échanges de messages survenus entre l’appelante et N.________, il ne peut être exclu que celle-ci ait inventé, ou à tout le moins exagéré, une situation de danger pour attirer l’attention de son ex-amant, respectivement afin de perturber la soirée qu’il passait en compagnie d’une autre femme. Par conséquent, ce doute est suffisamment important pour empêcher une condamnation de B.________. Le tribunal de première instance a donc correctement fait application du principe « in dubio pro reo » en mettant le prévenu au bénéfice de ses déclarations. L’appel de P.________ doit dès lors être rejeté. 5. L’appel joint de B.________ 5.1 5.1.1 B.________ conteste le montant de 18'000 fr. qui lui a été alloué à titre d’indemnité pour les dépenses occasionnées par la procédure selon l’art. 429 al. 1 let. a CPP. Il invoque en outre une violation du droit d’être entendu en lien avec la motivation, trop sommaire selon lui, de l’autorité de première instance relative aux conclusions civiles réclamées. 5.1.2</w:t>
      </w:r>
    </w:p>
    <w:p>
      <w:r>
        <w:t>- 34 - 5.1.2.1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ATF 138 IV 81 consid. 2.2 ; ATF 134 I 83 consid. 4.1).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5.1.2.2 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w:t>
      </w:r>
    </w:p>
    <w:p>
      <w:r>
        <w:t>- 35 -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Déterminer si l’assistance d’un avocat procède d’un exercice raisonnable des droits de procédure et si, par conséquent, une indemnité selon l’art. 429 al. 1 let. a CPP peut être allouée au prévenu est une question de droit (ATF 142 IV 45 précité). L'indemnité visée par l'art. 429 al. 1 let. a CPP doit correspondre au tarif usuel du barreau applicable dans le canton où la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w:t>
      </w:r>
    </w:p>
    <w:p>
      <w:r>
        <w:t>- 36 -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5.1.3 5.1.3.1 En l’espèce, certes succincte, la motivation du tribunal de première instance (cf. jugement, pp. 30 et 31) répond toutefois aux exigences rappelées ci-dessus. Les premiers juges n’ont en particulier pas analysé dans le détail chaque poste des listes d’opérations produites (P. 99/11), mais ont estimé sommairement le temps jugé nécessaire à la défense du prévenu en indiquant les motifs qui les ont poussés à considérer comme excessive la demande d’indemnisation, à savoir les nombreuses opérations sans lien direct avec la procédure, la difficulté relative de la cause, sa durée, son ampleur, la présence de deux défenseurs et le tarif horaire retenu. On ne voit pas, sous l’angle de la motivation, les raisons pour lesquelles le droit d’être entendu du prévenu aurait été violé. 5.1.3.2 Lors des débats de première instance, le prévenu a conclu à ce qu’un montant de 198'642 fr. 45 lui soit alloué à titre d’indemnité pour les dépenses occasionnées par l’exercice raisonnable de ses droits de procédure. A l’audience, il a fourni les notes d’honoraires dues à ses conseils pour la période allant du 20 novembre 2020 au jour de l’audience (P. 99/11). Les honoraires facturés correspondent à 397 heures de travail, au tarif horaire de 380 fr. pour un avocat et de 500 fr. pour l’autre. Les premiers juges ont considéré que les opérations annoncées comprenaient nombre d’actes sans lien avec la présente procédure, comme les entretiens avec le détective [...] ou la rédaction de plaintes pénales faisant l’objet de procédures distinctes. Ils ont également estimé que la difficulté de la cause n’imposait pas la présence de deux défenseurs et qu’il s’agissait d’une organisation interne que l’Etat n’avait pas à supporter. Le tarif horaire a été fixé à 300 fr. et le nombre d’heures</w:t>
      </w:r>
    </w:p>
    <w:p>
      <w:r>
        <w:t>- 37 - arrêté à 60, compte tenu de la difficulté de la cause, de sa durée et de son ampleur, étant précisé qu’elle avait compris 9 auditions et une centaine de pièces. En l’espèce, l’appréciation de l’autorité inférieure ne prête par le flanc à la critique. Le dossier est certes relativement important, mais n’est pas d’un volume hors norme. Il s’agit d’une affaire d’une complexité relative, comportant deux versions qui s’opposent, sans témoin direct. Les deux conseils du prévenu ont entrepris des démarches qui sortent de l’ordinaire pour une telle affaire, en recourant à un détective et en mandatant un expert privé. Il est exact que bon nombre d’opérations annoncées comprennent de multiples actes sans lien avec la présente cause, par exemple les nombreuses opérations en lien avec le détective [...] (« suivis », téléphones, courriers, analyses et conférences), les entretiens avec Me [...] – dont on ignore le rôle dans la présente cause –, les différentes opérations en lien avec les Pr. [...] et [...] ou la rédaction de plaintes pénales faisant l’objet de procédures distinctes. Les considérations du prévenu sur la manière d’instruire du Ministère public sont sans pertinence. Il est exclu que cela justifiait l’intervention d’un détective privé. Il en est de même s’agissant de la mise en œuvre d’un expert médecin, compte tenu des pièces médicales émanant des Etablissements Hospitaliers du Nord vaudois et du CURML qui figuraient déjà au dossier. En outre, quantité de lettres, pièces et réquisitions apparaissent à double dans l’enquête. Par exemple, le prévenu a présenté à cinq reprises devant le Ministère public, puis une nouvelle fois devant le tribunal de première instance, les mêmes réquisitions de preuves, chaque fois accompagnées d’un bordereau de pièces. Enfin, un temps considérable est consacré à l’étude du dossier ou au suivi de celui-ci, et ce par deux avocats. Ce temps est bien trop important dès lors que le défenseur a suivi le dossier dès le départ. Si la procédure comportait des enjeux conséquents, le temps annoncé apparaît ainsi largement excessif et nombre d’opérations sortent de l’exercice raisonnable des droits de procédure.</w:t>
      </w:r>
    </w:p>
    <w:p>
      <w:r>
        <w:t>- 38 - Par ailleurs, le dossier ne présentait pas une difficulté telle qu’il se justifierait d’intervenir à deux avocats et de s’écarter du tarif horaire médian de 300 fr. prévu à l’art. 26a al. 3 TFIP (tarif des frais de procédure et indemnités en matière pénale du 28 septembre 2010 ; BLV 312.03.1). 5.2 5.2.1 B.________ conteste en outre le montant de 5'000 fr. qui lui a été octroyé à titre de tort moral selon l’art. 429 al. 1 let. c CPP. Il estime ce montant « très peu adéquat », évoquant les conséquences extrêmement néfastes causées par la procédure sur sa santé et qui ont été attestées par son psychiatre. Il considère qu’il faut également tenir compte de la gravité et du caractère dégradant des faits reprochés, lesquels auraient pu conduire à une lourde condamnation ainsi qu’à son expulsion du territoire, avec les conséquences que cela implique sur sa vie familiale, professionnelle et sociale. Il fait en outre valoir que l’enquête a constitué une intrusion exorbitante dans sa sphère intime, puisqu’il a dû détailler ses habitudes en matière de sexualité et fournir des conversations très privées et que son téléphone, ses vidéos et photographies ont été consultés par la police. 5.2.2 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(TF 6B_928/2014 du 10 mars 2016 consid. 2 non publié aux ATF 142 IV 163). L'Etat doit réparer la totalité du dommage qui présente un lien de causalité avec la procédure pénale au sens du droit de la responsabilité civile (TF 6B_361/2018 du 15 juin 2018 consid. 4 et les références citées).</w:t>
      </w:r>
    </w:p>
    <w:p>
      <w:r>
        <w:t>- 39 - Pour justifier un droit à l'indemnité visée par l'art. 429 al. 1 let. c CPP, l'intensité de l'atteinte à la personnalité doit être analogue à celle requise dans le contexte de l'art. 49 CO (loi fédérale du 30 mars 1911 complétant le Code civil suisse ; RS 220) (ATF 143 IV 339 consid. 3.1 ; TF 6B_928/2014 du 10 mars 2016 consid. 5.1, non publié in ATF 142 IV 163 précité).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précité consid. 3.1 ; TF 6B_571/2021 du 24 novembre 2021 consid. 2.1 ; TF 6B_1220/2020 du 1er juillet 2021 consid. 3.1). Il appartient à la personne qui s’en prévaut d’établir, ou du moins de rendre hautement vraisemblable, qu’elle a subi une atteinte particulièrement grave à sa personnalité. Une telle atteinte doit être présumée lorsque la personne a été détenue à tort (Griesser, Kommentar zur Schweizerischen Strafprozessordnung, 2e éd., Zurich/Bâle 2014, n. 7 ad art. 429 CPP ; Schmid, Praxiskommentar, Schweizerische Strafprozessordnung, 2e éd., Zurich/St-Gall 2013, n. 10 ad art. 429 CPP).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w:t>
      </w:r>
    </w:p>
    <w:p>
      <w:r>
        <w:t>- 40 - à toute fixation selon des critères mathématiques, de sorte que son évaluation en chiffres ne saurait excéder certaines limites. L'indemnité allouée doit toutefois être équitable (ATF 143 IV 339 précité consid. 3.1 ; ATF 130 III 699 consid. 5.1 ; cf. également ATF 141 III 97 consid. 11.2). La fixation de l’indemnité pour tort moral procède pour une part importante de l’appréciation des circonstances, et l’autorité compétente bénéficie d’un large pouvoir d’appréciation en la matière. Le Tribunal fédéral n’intervient que si cette dernière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143 IV 339 précité consid. 3.1). 5.2.3 Les premiers juges ont considéré que le montant de 5'000 fr. était adéquat au vu de la procédure et du certificat médical produit. Lors des débats de première instance, le prévenu a conclu à l’allocation d’un montant de 30'000 fr. à titre de tort moral. En l’occurrence, il ne fait aucun doute que la procédure et l’enquête ont eu un impact non négligeable sur la vie personnelle de l’appelant, de sorte qu’il a subi une atteinte suffisamment grave à sa personnalité pour justifier, sur le principe, l’octroi d’une réparation morale. S’agissant de la fixation de l’indemnité, on retiendra que les accusations portées à l’encontre du prévenu étaient graves, puisqu’il a été suspecté de viol et de contrainte sexuelle. Les faits reprochés pouvaient donc entraîner une peine importante de détention, doublée d’une mesure d’expulsion. Il faut également prendre en compte la longueur de la procédure ainsi que les mesures d’instruction prises durant l’enquête, notamment la surveillance rétroactive de son téléphone portable et les interrogatoires de la police. Ces mesures, et plus généralement l’enquête, ont conduit à une importante ingérence dans la sphère intime de l’appelant, qui, pour se disculper, a dû parler de sa vie sentimentale et sexuelle, la police ayant en outre eu accès à son téléphone portable, lequel contenait des</w:t>
      </w:r>
    </w:p>
    <w:p>
      <w:r>
        <w:t>- 41 - photographies et des conversations privées, voire intimes. En revanche, il faut tout autant tenir compte du fait que le prévenu n’a pas été détenu, ni n’a été exposé médiatiquement ou dans le cadre professionnel. Le montant réclamé de 30'000 fr. est clairement excessif, puisqu’il correspond au double de ce que pourrait percevoir la victime d’un viol (par ex. TF 6B_720/2022 du 9 mars 2023, TF 6B_217/2019 du 4 avril 2019 ; cf. CAPE 3 février 2023/18 consid. 3.6.3). Il faut enfin tenir compte du fait que l’enquête a révélé une consommation de stupéfiants et que les déclarations fluctuantes du prévenu n’ont pas favorisé la découverte de la vérité. En définitive, compte tenu de l’ensemble des circonstances, il apparaît que le montant arrêté par les premiers juges de 5'000 fr. est adéquat et doit être confirmé. Il résulte de ce qui précède que l’appel joint formé par B.________ est infondé. 6. L’appel joint de Me C.________ 6.1 Me C.________, précédent conseil de P.________ soutient que le prévenu doit être reconnu coupable de contrainte sexuelle et de viol. Partant, conformément aux art. 138 CPP et, par analogie, 135 al. 4 CPP, il réclame le montant de 7'078 fr. 70, TVA et débours compris, correspondant à la différence entre l’indemnité qu’il a perçue en qualité de conseil d’office et les honoraires qu’il aurait perçus comme conseil de choix. Pour chiffrer le montant réclamé, il se fonde sur le courrier et la liste des opérations adressés le 8 mars 2023 au tribunal de première instance (P. 77). 6.2 Dans la mesure où il y a lieu de confirmer l’acquittement du prévenu, l’appel joint de Me C.________ doit être rejeté, sans qu’il n’y ait besoin de se prononcer plus en avant sur son bien-fondé, respectivement sur sa recevabilité.</w:t>
      </w:r>
    </w:p>
    <w:p>
      <w:r>
        <w:t>- 42 - 7. En définitive, l’appel de P.________ doit être rejeté, tout comme les appels joints de B.________ et de Me C.________, et le jugement entrepris intégralement confirmé. Me Charlotte Iselin, conseil d’office de P.________, a produit une liste d’opérations (P. 138) dans laquelle elle a annoncé avoir consacré 22h20 au mandat. Il convient de réduire cette durée de 55 minutes, l’audience d’appel ayant duré 2h05 et non 3h00 comme allégué. Au tarif horaire de 180 fr., l’indemnité de défenseur d'office qui doit être allouée pour la procédure d'appel s’élève à 4'379 fr. 30, soit des honoraires de 3'855 fr., auxquels s’ajoutent les débours forfaitaires de 2 %, par 77 fr. 10, une vacation, par 120 fr., la TVA au taux de 7.7 % sur 260 fr. 10 d’honoraires et débours, par 20 fr. 05, et la TVA au taux de 8.1 % sur 3'792 fr. d’honoraires, débours et vacation, par 307 fr. 15. Au vu de l’issue de l’appel joint interjeté par B.________, l’indemnité à forme de l’art. 429 CPP requise par celui-ci pour la procédure d’appel doit être rejetée. Vu l’issue de la cause, les frais d’appel, par 4’360 fr., constitués en l’espèce des émoluments de jugement et d’audience, par 4’000 fr. (art. 21 al. 1 et 2 TFIP), ainsi que de l’émolument du prononcé du</w:t>
      </w:r>
    </w:p>
    <w:p>
      <w:r>
        <w:rPr>
          <w:b/>
        </w:rPr>
        <w:t>E. 14</w:t>
      </w:r>
    </w:p>
    <w:p>
      <w:r>
        <w:t>décembre 2023, par 360 fr., seront mis par 40 % à la charge de B.________, soit 1'744 fr, par 20 % à la charge de Me C.________, soit 872 fr., et par 40 % à la charge de P.________, soit 1'744 francs. En vertu de l’art. 138 al. 1bis CPP, P.________ est dispensée de rembourser les frais d’assistance judiciaire gratuite. Par conséquent, les indemnités de ses conseils juridiques gratuits de 4’379 fr. 30 et de 1'285 fr. 30 (prononcé du 14 décembre 2023) seront laissés à la charge de l’Etat. A cet égard, en application de l’art. 83 CPP, les chiffres V et VI du dispositif du présent jugement doivent être rectifiés d’office sur ce point, ensuite d’une inadvertance manifeste. Par ces motifs,</w:t>
      </w:r>
    </w:p>
    <w:p>
      <w:r>
        <w:t>- 43 - la Cour d’appel pénale, statuant en application des art. 106 CP, 19a ch. 1 LStup, 339 ss, 398 ss et 426 ss CPP, prononce : I. L’appel de P.________ est rejeté. II. Les appels joints de B.________ et de Me C.________ sont rejetés. III. Le jugement rendu le 8 mai 2023 par le Tribunal correctionnel de l’Est vaudois est confirmé selon le dispositif suivant : "I. libère B.________ des infractions de contrainte sexuelle et de viol ; II. condamne B.________ pour contravention à la loi fédérale sur les stupéfiants à une amende de 100 (cent) fr., la peine privative de liberté de substitution étant de 1 (un) jour ; III. rejette les conclusions civiles prises par P.________ à l’encontre de B.________ ; IIIbis. rejette les conclusions civiles prises par Me C.________ à l’encontre de B.________; IV. ordonne le maintien au dossier des objets versés sous fiche no 11180 ; V. laisse les frais à la charge de l’Etat, dont l’indemnité due à Me Jacqueline Mottard, conseil d’office, arrêtée à 10'565 fr. 35, TVA et débours compris ; VI. dit que l’Etat de Vaud est le débiteur de B.________ des sommes de : - 18'000 fr. à titre d’indemnité pour les dépenses occasionnées par la procédure pénale, - 5'000 fr. à titre d’indemnité pour tort moral." IV. Une indemnité de conseil d'office pour la procédure d'appel d'un montant de 4'379 fr. 30, TVA et débours inclus, est</w:t>
      </w:r>
    </w:p>
    <w:p>
      <w:r>
        <w:t>- 44 - allouée à Me Charlotte Iselin. V. Les frais d'appel, par 4'360 fr., sont mis par 40 % à la charge de B.________, soit 1'744 fr., par 20 % à la charge de Me C.________, soit 872 fr., et par 40 % à la charge de P.________, soit 1'744 fr., étant précisé que les frais liés aux conseils d’office de cette dernière, par 4'379 fr. 30 et par 1'285 fr. 30 sont laissés à la charge de l’Etat. VI. P.________ est dispensée de rembourser à l’Etat de Vaud les indemnités de ses conseils d’office prévues, d’une part, au ch. IV ci-dessus et, d’autre part, au ch. III du prononcé du 14 décembre 2023. VII. Le jugement motivé est exécutoire. Le président : Le greffier : Du Le jugement qui précède, dont le dispositif a été communiqué par écrit aux intéressés le 22 janvier 2024, est notifié, par l'envoi d'une copie complète, à : - Me Elie Elkaim, avocat (pour B.________), - Me Charlotte Iselin, avocate (pour P.________), - Me C.________, - Ministère public central, et communiqué à : - Mme la Présidente du Tribunal correctionnel de l'arrondissement de l’Est vaudois, - Mme la Procureure de l'arrondissement de l’Est vaudois,</w:t>
      </w:r>
    </w:p>
    <w:p>
      <w:r>
        <w:t>- 45 -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