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PE20.012599 vom 1. Oktober 2020</w:t>
      </w:r>
    </w:p>
    <w:p>
      <w:r>
        <w:t>VD Tribunal cantonal, 2020-10-01, FR</w:t>
      </w:r>
    </w:p>
    <w:p>
      <w:r>
        <w:rPr>
          <w:b/>
        </w:rPr>
        <w:t xml:space="preserve">Quelle: </w:t>
      </w:r>
      <w:r>
        <w:t>https://mcp.opencaselaw.ch/entscheid/vd_gerichte_PE20.012599</w:t>
      </w:r>
    </w:p>
    <w:p>
      <w:r>
        <w:t>FR: VD_GERICHTE PE20.012599 du 1 octobre 2020</w:t>
      </w:r>
    </w:p>
    <w:p>
      <w:r>
        <w:t>IT: VD_GERICHTE PE20.012599 del 1 ottobre 2020</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w:t>
      </w:r>
    </w:p>
    <w:p>
      <w:r>
        <w:t>- 4 -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le recours est recevable. Les pièces nouvelles sont également recevables (art. 390 al. 4 in fine CPP; Moreillon/Parein-Reymond, Code de procédure pénale, Petit commentaire, 2e éd., Bâle 2016, n. 8 ad art. 385 CPP).</w:t>
      </w:r>
    </w:p>
    <w:p>
      <w:r>
        <w:rPr>
          <w:b/>
        </w:rPr>
        <w:t>E. 2.1</w:t>
      </w:r>
    </w:p>
    <w:p>
      <w:r>
        <w:t>La recourante conteste que les conditions de l’art. 310 al. 1 let. a CPP soient réunies s’agissant de l’infraction de menaces. Elle soutient en substance que, le 6 février 2020, le prévenu a bien adopté un comportement menaçant à son égard, ce qui serait confirmé par les témoignages écrits de [...] et [...] (P. 13/2), et reproche ainsi au Ministère public d’avoir retenu à tort qu’il n’y avait pas de témoin oculaire des faits.</w:t>
      </w:r>
    </w:p>
    <w:p>
      <w:r>
        <w:rPr>
          <w:b/>
        </w:rPr>
        <w:t>E. 2.2</w:t>
      </w:r>
    </w:p>
    <w:p>
      <w:r>
        <w:t>Conformément à l'art. 310 al. 1 let. a CPP, le Ministère public rend immédiatement – c'est-à-dire sans qu'une instruction soit ouverte (art. 309 al. 1 et 4 CPP)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Selon cette disposition, qui doit être appliquée selon l’adage « in dubio pro duriore », il importe donc que les éléments constitutifs de l'infraction ne soient manifestement pas réunis (TF 6B_401/2020 du 13</w:t>
      </w:r>
    </w:p>
    <w:p>
      <w:r>
        <w:t>- 5 - août 2020 consid. 2.1). En d'autres termes, il faut être certain que l'état de fait ne constitue aucune infraction (ATF 137 IV 285 consid. 2.3, JdT 2012 IV 160).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En l’espèce, le Ministère public a refusé d’entrer en matière s’agissant de l’infraction de menaces au sens de l’art. 180 al. 1 CP au motif qu’en l’absence de témoin oculaire et compte tenu du conflit existant entre les parties, il n’était pas possible de retenir une version plutôt qu’une autre. Toutefois, cette constatation ne saurait être suivie à ce stade de la procédure. En effet, tout d’abord, il ressort clairement des déclarations de la plaignante et du prévenu qu’il existe un témoin oculaire des faits, soit le collègue de F.________, [...]. C’est ainsi à tort que le Procureur n’a pas investigué sur ce point. Par ailleurs, la recourante a produit deux témoignages écrits à l’appui de son recours (P. 13/2) qui permettent de penser que l’infraction de menaces au sens de l’art. 180 al. 1 CP, voire celle de contrainte au sens de l’art. 181 CP, pourraient être réalisées. Il ressort en particulier du témoignage écrit du 28 août 2020 de [...] que ce dernier a été témoin direct de l’altercation entre F.________ et U.________ et que, lorsque il avait demandé à ce dernier de quitter les lieux le soir du 6 février 2020, celui-ci aurait répondu par la négative et tenu les propos suivants : « Je suis là pour lui pourrir la vie, comme elle a pourri la mienne. J’ai le droit d’être là et je ne partirai pas » (…) « Appelle la police, j’en ai</w:t>
      </w:r>
    </w:p>
    <w:p>
      <w:r>
        <w:t>- 6 - rien à foutre ». Le témoin a ajouté que l’attitude du prévenu en général, et en particulier certains propos à l’encontre de F.________, lui avaient donné le sentiment que cette dernière n’était pas en sécurité, que les menaces exprimées envers elle semblaient sérieuses et extrêmement violentes. Il a finalement expliqué que les faits avaient marqué les trois collègues du cabinet, à tel point qu’ils avaient décidé de mettre en place un système de filtre des participants lors d’un séminaire prévu une semaine après les faits, par peur que le prévenu ne revienne perturber le bon déroulement de l’événement. Certes, il s’agit d’un témoignage écrit fait à la demande de la recourante et qu’il y aura lieu de faire confirmer ou infirmer, mais cela suffit comme indice à ce stade de la procédure. Au vu de ces éléments, il y a lieu de considérer que les conditions d’un refus d’entrer en matière ne sont pas réunies et que le Procureur doit ouvrir une instruction.</w:t>
      </w:r>
    </w:p>
    <w:p>
      <w:r>
        <w:rPr>
          <w:b/>
        </w:rPr>
        <w:t>E. 3</w:t>
      </w:r>
    </w:p>
    <w:p>
      <w:r>
        <w:t>En définitive, le recours doit être admis, l’ordonnance contestée annulée et le dossier de la cause renvoyé au Ministère public de l'arrondissement de Lausanne pour qu’il procède dans le sens des considérants. Les frais de la procédure de recours, constitués en l’espèce du seul émolument d’arrêt (art. 422 al. 1 CPP), par 660 fr. (art. 20 al. 1 TFIP [Tarif des frais de procédure et indemnités en matière pénale du 28 septembre 2010 ; BLV 312.03.1]), seront laissés à la charge de l’Etat (art. 428 al. 4 CPP). La recourante, qui a procédé avec l’assistance d’un avocat de choix et qui a obtenu gain de cause, a droit, à la charge de l’Etat, à une indemnité pour les dépenses occasionnées par la procédure de recours. Au vu de la nature de l’affaire, cette indemnité sera fixée à 900 fr., correspondant à trois heures d’activité d’avocat au tarif horaire de 300 fr., montant auquel il convient d’ajouter des débours forfaitaires à concurrence de 2 % des honoraires admis (art. 19 al. 2 TDC [Tarif des dépens en matière civile du 23 novembre 2010 ; BLV 270.11.6], applicable</w:t>
      </w:r>
    </w:p>
    <w:p>
      <w:r>
        <w:t>- 7 - par renvoi de l’art. 26a al. 6 TFIP), par 18 fr., plus la TVA au taux de 7,7 %, par 70 fr. 70, soit à 988 fr. 70 au total, montant arrondi à 989 francs. Par ces motifs, la Chambre des recours pénale prononce : I. Le recours est admis. II. L’ordonnance du 20 août 2020 est annulée. III. Le dossier de la cause est renvoyé au Ministère public de l’arrondissement de Lausanne pour qu’il procède dans le sens des considérants. IV. Les frais d’arrêt, par 660 fr. (six cent soixante francs), sont laissés à la charge de l’Etat. V. Une indemnité de 989 fr. (neuf cent huitante-neuf francs) est allouée à F.________ pour la procédure de recours, à la charge de l’Etat. VI. L’arrêt est exécutoire. Le président : La greffière : Du Le présent arrêt, dont la rédaction a été approuvée à huis clos, est notifié, par l'envoi d'une copie complète, à : - Me Inès Feldmann, avocate (pour F.________), - Ministère public central, et communiqué à : - M. le Procureur de l’arrondissement de Lausanne,</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