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PE20.012428 vom 5. August 2021</w:t>
      </w:r>
    </w:p>
    <w:p>
      <w:r>
        <w:t>VD Tribunal cantonal, 2021-08-05, FR</w:t>
      </w:r>
    </w:p>
    <w:p>
      <w:r>
        <w:rPr>
          <w:b/>
        </w:rPr>
        <w:t xml:space="preserve">Quelle: </w:t>
      </w:r>
      <w:r>
        <w:t>https://mcp.opencaselaw.ch/entscheid/vd_gerichte_PE20.012428</w:t>
      </w:r>
    </w:p>
    <w:p>
      <w:r>
        <w:t>FR: VD_GERICHTE PE20.012428 du 5 août 2021</w:t>
      </w:r>
    </w:p>
    <w:p>
      <w:r>
        <w:t>IT: VD_GERICHTE PE20.012428 del 5 agosto 2021</w:t>
      </w:r>
    </w:p>
    <w:p>
      <w:pPr>
        <w:pStyle w:val="Heading2"/>
      </w:pPr>
      <w:r>
        <w:t>Erwägungen</w:t>
      </w:r>
    </w:p>
    <w:p>
      <w:r>
        <w:rPr>
          <w:b/>
        </w:rPr>
        <w:t>E. 5.1</w:t>
      </w:r>
    </w:p>
    <w:p>
      <w:r>
        <w:t>L’appelant conteste sa condamnation pour tentative de meurtre. S’il admet s’être rendu coupable de lésions corporelles simples qualifiées à raison des faits retenus au considérant 2.3 ci-dessus, il conteste en revanche toute intention homicide à l’encontre de K.________. Il fait valoir que la lame de son couteau n’était pas acérée, qu’il aurait visé le bras de la victime et non un organe vital, que le coup n’aurait pas été porté avec force, et soutient que les conclusions de l’expertise psychiatrique ne permettraient pas de retenir une conscience de sa part du risque de mort et, a fortiori, la volonté de tuer.</w:t>
      </w:r>
    </w:p>
    <w:p>
      <w:r>
        <w:rPr>
          <w:b/>
        </w:rPr>
        <w:t>E. 5.2.1</w:t>
      </w:r>
    </w:p>
    <w:p>
      <w:r>
        <w:t>Aux termes de l'art. 111 CP, celui qui aura intentionnellement tué une personne sera puni d'une peine privative de liberté de cinq ans au moins, en tant que les conditions prévues aux articles suivants ne sont pas réalisées. 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[éd.], op. cit., n. 10 ad art. 12 CP et les références citées). Ces trois formes correspondent à un comportement intentionnel au sens de l’art. 12 al. 2 CP. Il y a dol éventuel lorsque l'auteur tient pour possible la réalisation de l'infraction, même s'il ne le souhaite pas, parce qu'il s'accommode du résultat pour le cas où il se produirait (ATF 135 IV 152 précité consid. 2.3.2 ; ATF 133 IV 9 consid. 4.1 ; ATF 131 IV 1 consid. 2.2 ; TF 6B_991/2020 du 27 août 2021 consid. 1.2.2).</w:t>
      </w:r>
    </w:p>
    <w:p>
      <w:r>
        <w:t>- 30 - Faute d'aveux, le juge ne peut, en règle générale, déduire la volonté interne de l'intéressé qu'en se fondant sur des indices extérieurs et des règles d'expérience. Parmi les éléments extérieurs permettant de conclure que l'auteur s'est accommodé du résultat, la jurisprudence retient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 ATF 134 IV 26 consid. 3.2.2, JdT 2009 IV 43 ; TF 6B_1279/2020 du 30 juin 2021 consid. 2.1.2 et les références citées). Il n'est cependant pas nécessaire que le risque de voir le danger se concrétiser soit particulièrement élevé pour admettre le dol éventuel (ATF 134 IV 26 précité ; ATF 133 IV 9 précité ; TF 6B_721/2020 et TF 6B_730/2020 du 11 février 2021 consid. 4.1.1).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références citées ; TF 6B_366/2020 et TF 6B_404/2020 du 17 novembre 2020 consid. 3.1.1 ; TF 6B_924/2017 du 14 mars 2018 consid. 1.1.2). Il en va ainsi en particulier de l’auteur qui frappe autrui à coups de couteau à un endroit du corps abritant des organes vitaux ou à un endroit où un tel coup pourrait causer une hémorragie interne (TF 6B_246/2012 du 10 juillet 2012). Peuvent également constituer des éléments extérieurs révélateurs les mobiles de l'auteur et la manière dont il a agi (ATF 138 V 74 précité).</w:t>
      </w:r>
    </w:p>
    <w:p>
      <w:r>
        <w:rPr>
          <w:b/>
        </w:rPr>
        <w:t>E. 5.2.2</w:t>
      </w:r>
    </w:p>
    <w:p>
      <w:r>
        <w:t>Il y a tentative au sens de l’art. 22 al. 1 CP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(TF 6B_1177/2018 du 9</w:t>
      </w:r>
    </w:p>
    <w:p>
      <w:r>
        <w:t>- 31 - janvier 2019 consid. 1.1.3 ; TF 6B_157/2017 du 25 octobre 2017 consid. 3.1). La jurisprudence a affirmé à plusieurs reprises que l'équivalence des deux formes de dol – direct et éventuel – s'appliquait également à la tentative (ATF 122 IV 246 consid. 3a ; ATF 120 IV 17 consid. 2c ; TF 6B_1177/2018 précité ; TF 6B_924/2017 précité consid. 1.1.3). La nature de la lésion subie par la victime et sa qualification d'un point de vue objectif est sans pertinence pour juger si l'auteur s'est rendu coupable de tentative de meurtre (ATF 137 IV 113 consid. 1.4.2 ; TF 6B_366/2020 et TF 6B_404/2020 précités consid. 3.1.3 ; TF 6B_86/2019 du 8 février 2019 consid. 2.1 ; TF 6B_924/2017 précité consid. 1.4.5). L'auteur ne peut ainsi valablement contester la réalisation d'une tentative de meurtre au motif que la victime n'a subi que des lésions corporelles simples et que la vie de celle-ci n'a pas été mise en danger. Il importe cependant que les coups portés aient objectivement exposé la victime à un risque de mort (TF 6B_366/2020 et TF 6B_404/2020 précités ; TF 6B_86/2019 précité ; TF 6B_924/2017 précité).</w:t>
      </w:r>
    </w:p>
    <w:p>
      <w:r>
        <w:rPr>
          <w:b/>
        </w:rPr>
        <w:t>E. 5.3</w:t>
      </w:r>
    </w:p>
    <w:p>
      <w:r>
        <w:t>Il ressort de l’état de fait que l’appelant, pour une raison obscure, était très énervé contre la victime. Il l’a insultée en apposant la lame de son couteau contre son cou. Il a ensuite tenté de lui donner plusieurs coups de couteau « en piqué », nécessitant à chaque fois des mouvements d’esquive de la part du plaignant. L’appelant a finalement pu atteindre K.________ au thorax en effectuant un mouvement de balayage avec son couteau, geste que le plaignant n’a pas pu esquiver. Celui-ci a souffert d’une plaie superficielle d’une longueur de 6 centimètres suffisamment profonde pour nécessiter d’être suturée. La lame a coupé le tissu de la chemise portée par la victime, puis sa chair. L’appelant a ensuite pris la fuite au son des sirènes de police. C’est en vain que l’appelant plaide qu’il ne visait que le bras de K.________, dès lors que le plaignant a affirmé qu’il visait son cœur, déclarations qui sont corroborées par le témoin I.________. C’est également en vain qu’il prétend que la lame de son couteau n’était pas acérée, alors qu’elle a tranché la chemise, puis la chair de sa victime. L’appelant était déterminé. Il n’a pas retenu ses coups, qu’il a portés à plusieurs reprises</w:t>
      </w:r>
    </w:p>
    <w:p>
      <w:r>
        <w:t>- 32 - dans une zone vitale du corps de sa victime. Entendu aux débats d’appel, O.________ a déclaré « J’ai fait des mouvements avec mon couteau ouvert. Je ne sais pas où j’ai touché. C’est possible que j’aie touché, on me l’a dit en tout cas. », déclarations qui attestent que l’enchaînement rapide des coups n’était absolument pas maîtrisé. Par ailleurs, si ceux-ci n’ont pas tous porté, c’est parce que la victime les a esquivés. L’absence de force dans ses attaques, qu’il tente maladroitement de plaider, n’y est pour rien. Il ressort du rapport d’expertise psychiatrique 7 avril 2021 (P. 56) que l’appelant souffre d’une addiction à l’alcool, au THC, à la cocaïne et à l’ecstasy et qu’il se trouvait, lors de l’ensemble des faits qui lui sont reprochés, sous l’influence de ces substances et d’une drogue facilitant le passage à l’acte appelée « Madame courage ». Si sa volonté a été qualifiée par les expertes de restreinte dans une moyenne mesure, sa conscience n’était pas altérée pour autant, ses capacités cognitives demeurant intactes. Autrement dit, l’appelant se rendait compte que le fait de frapper une zone vitale du corps humain avec l’aide d’un couteau était propre à tuer. Il l’a d’ailleurs reconnu lors de son audition d’arrestation par le Ministère public, admettant que les gestes effectués pouvaient non seulement blesser, mais également entraîner la mort de la personne visée (PV aud. 6, l. 79). A cet égard, les conclusions du rapport d’expertise ne lui sont donc d’aucun secours. Au demeurant, comme l’ont relevé à juste titre les premiers juges, la diminution de responsabilité du prévenu est sans conséquence sur l’appréciation de la réalisation de l’élément subjectif de l’infraction, mais doit uniquement être prise en compte pour apprécier l’importance de la faute commise (cf. consid. 7.2.2 infra). Contrairement à ce que soutient l’appelant, une diminution de responsabilité pénale n’exclut donc pas que l’auteur ait agi par dol éventuel. Compte tenu de ce qui précède, l’appréciation des premiers juges, selon laquelle il ne pouvait pas échapper à l’appelant que les gestes effectués dans un enchaînement rapide non maîtrisé à proximité des organes vitaux de K.________ à l’aide d’un couteau pouvaient entraîner la mort de sa victime et selon laquelle il s’est accommodé de ce résultat, ne</w:t>
      </w:r>
    </w:p>
    <w:p>
      <w:r>
        <w:t>- 33 - prête pas le flanc à la critique et doit être partagée, même si, comme il le soutient, il ne le voulait pas. Ce grief doit donc être rejeté et la condamnation de l’appelant pour tentative de meurtre au préjudice de K.________ confirmée.</w:t>
      </w:r>
    </w:p>
    <w:p>
      <w:r>
        <w:rPr>
          <w:b/>
        </w:rPr>
        <w:t>E. 6.1</w:t>
      </w:r>
    </w:p>
    <w:p>
      <w:r>
        <w:t>L’appelant conteste s’être rendu coupable de brigandage au préjudice de J.________ et plaide l’acquittement, soutenant que seul Q.________ devrait être condamné pour les faits retenus au considérant 2.4 ci-dessus dès lors que celui-ci serait un « meilleur candidat au vol » que lui.</w:t>
      </w:r>
    </w:p>
    <w:p>
      <w:r>
        <w:rPr>
          <w:b/>
        </w:rPr>
        <w:t>E. 6.1.1</w:t>
      </w:r>
    </w:p>
    <w:p>
      <w:r>
        <w:t>et les références citées ; TF 6B_183/2021 du 27 octobre 2021 consid. 1.3).</w:t>
      </w:r>
    </w:p>
    <w:p>
      <w:r>
        <w:rPr>
          <w:b/>
        </w:rPr>
        <w:t>E. 6.2</w:t>
      </w:r>
    </w:p>
    <w:p>
      <w:r>
        <w:t>Il peut être renvoyé aux principes relatifs à l’appréciation des preuves et à la présomption d’innocence, qui ont été développés au considérant 3.2.1 ci-dessus, ainsi qu’au considérant 3.2.2 ci-dessus s’agissant des éléments constitutifs de l’infraction de brigandage et de la définition de la coaction.</w:t>
      </w:r>
    </w:p>
    <w:p>
      <w:r>
        <w:rPr>
          <w:b/>
        </w:rPr>
        <w:t>E. 6.3</w:t>
      </w:r>
    </w:p>
    <w:p>
      <w:r>
        <w:t>J.________ et son amie D.________ ont tous deux affirmé qu’O.________ et Q.________ les avaient abordés et que le plaignant s’était rendu compte peu après que son porte-monnaie avait été subtilisé. Lorsqu’il avait touché les poches d’O.________ pour tenter d’y trouver son porte-monnaie, celui-ci en avait sorti un couteau suisse fermé et avait menacé de le poignarder s’il continuait. Il s’était alors dirigé vers Q.________ pour lui demander de lui rendre ses valeurs, avant que celui-ci menace de le frapper, lui jette de la bière au visage, lui donne un coup au bras et s’enfuie en courant. Lorsque le plaignant avait tenté de le poursuivre pour récupérer ses biens, O.________ avait tenté de lui faire des croche-pieds pour le stopper dans sa course. L’appelant a pour sa part commencé par contester avoir été en possession d’un couteau et a accusé son comparse Q.________ du vol de son propre porte-monnaie, ainsi que de celui du plaignant. Il a ensuite admis avoir eu un couteau et a expliqué l’avoir présenté fermé à J.________</w:t>
      </w:r>
    </w:p>
    <w:p>
      <w:r>
        <w:t>- 34 - lorsque celui-ci lui avait demandé de vider ses poches, avant de déclarer au Ministère public ne plus se souvenir s’il avait sorti le couteau de sa poche pour le menacer ou pas. Aux débats d’appel, O.________ a expliqué que Q.________ avait volé le porte-monnaie du plaignant, qu’il avait pour sa part vidé ses poches, dans lesquelles se trouvait son couteau fermé, pour prouver sa bonne foi, et a admis avoir ensuite cherché à bloquer J.________ pour protéger son comparse dans sa fuite (cf. pp. 3 et 4 supra). Au vu des déclarations partiellement contradictoires des parties, la Cour de céans retient, à l’instar des premiers juges, que les déclarations de l’appelant, qui ont varié, peinent à convaincre alors qu’il n’y a aucune raison de douter de la véracité de celles du plaignant, qui sont claires, étant relevé que celui-ci n’a pas cherché à accabler O.________ et a spontanément dit que la lame du couteau était repliée. Il y a dès lors lieu de retenir que J.________ s’est fait voler son porte-monnaie, soit par Q.________, soit par l’appelant, et que celui-ci a exhibé un couteau suisse, lame repliée, en menaçant de poignarder le plaignant lorsqu’il avait voulu le fouiller. J.________ a ensuite été menacé et frappé par Q.________ lorsqu’il lui a demandé de lui rendre son porte-monnaie, avant que celui-ci prenne la fuite. Alors qu’il lui emboîtait le pas, le plaignant a été suivi par l’appelant qui a tenté de lui faire des croche-pieds dans le but de protéger la fuite de son comparse. Le fait qu’O.________ n’ait pas déployé la lame de son couteau ne change rien au fait que le plaignant s’est fait voler son porte-monnaie par l’appelant ou par son comparse, que tous deux, une fois démasqués, se sont livrés à des actes de contrainte dans le but de garder la chose volée, chacun voulant autant le délit pour sien, ce qui fonde la coaction de brigandage. Le grief doit être rejeté et la condamnation de l’appelant pour brigandage au préjudice de J.________ confirmée.</w:t>
      </w:r>
    </w:p>
    <w:p>
      <w:r>
        <w:rPr>
          <w:b/>
        </w:rPr>
        <w:t>E. 7.1</w:t>
      </w:r>
    </w:p>
    <w:p>
      <w:r>
        <w:t>L’appelant ne conteste pas le traitement ambulatoire, mais uniquement la peine qui lui a été infligée par les premiers juges. Il reproche au Tribunal correctionnel de ne pas avoir tenu compte dans une</w:t>
      </w:r>
    </w:p>
    <w:p>
      <w:r>
        <w:t>- 35 - mesure suffisante de la diminution de responsabilité constatée par l’expertise psychiatrique et invoque un défaut de motivation à cet égard. Il fait par ailleurs valoir que la quotité de la peine retenue à son encontre serait disproportionnée eu égard aux faits qui lui sont reprochés.</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7.2.2</w:t>
      </w:r>
    </w:p>
    <w:p>
      <w:r>
        <w:t>Selon l'art. 19 al. 2 CP, le juge atténue la peine si, au moment d'agir, l'auteur ne possédait que partiellement la faculté d'apprécier le caractère illicite de son acte ou de se déterminer d'après cette appréciation.</w:t>
      </w:r>
    </w:p>
    <w:p>
      <w:r>
        <w:t>- 36 - 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 celle-ci n'est que la conséquence de la faute plus légère (ATF 136 IV 55 précité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précité consid. 5.6 ; TF 6B_59/2021 du 12 novembre 2021 consid. 5.1 ; TF 6B_1403/2020 du 5 mai 2021 consid. 2.2 ; TF 6B_892/2020 du 16 février 2021 consid. 10.4.1).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précité).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w:t>
      </w:r>
    </w:p>
    <w:p>
      <w:r>
        <w:t>- 37 -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6B_59/2021 précité ; TF 6B_1403/2020 précité ; TF 6B_892/2020 précité).</w:t>
      </w:r>
    </w:p>
    <w:p>
      <w:r>
        <w:rPr>
          <w:b/>
        </w:rPr>
        <w:t>E. 7.2.3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w:t>
      </w:r>
    </w:p>
    <w:p>
      <w:r>
        <w:t>- 38 -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7.2.4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 TF 6B_911/2018 du 5 février 2019 consid. 1.2.2).</w:t>
      </w:r>
    </w:p>
    <w:p>
      <w:r>
        <w:t>- 39 -</w:t>
      </w:r>
    </w:p>
    <w:p>
      <w:r>
        <w:rPr>
          <w:b/>
        </w:rPr>
        <w:t>E. 7.3</w:t>
      </w:r>
    </w:p>
    <w:p>
      <w:r>
        <w:t>En l’espèce, les faits reprochés à l’appelant sont très graves. Celui-ci s’en est en effet pris aux biens juridiques les plus précieux que sont notamment la vie et l’intégrité corporelle. A l’instar du Tribunal correctionnel, il y a lieu de retenir que les actes commis témoignent de son absence de toute considération pour les normes et l’ordre public et démontrent une escalade de violence. Ancré dans la délinquance depuis son arrivée en Suisse, l’appelant s’en est cette fois également pris, après avoir été condamné à trois reprises pour des vols, à l’intégrité corporelle, voire à la vie de ses victimes, pour des motifs futiles ou par pur appât du gain, s’associant à des comparses aussi peu fréquentables que lui pour accomplir ses méfaits et récidivant à une occasion à peine dix jours après son audition par la police et alors qu’une enquête était en cours contre lui. Les actes commis dénotent une brutalité démesurée et sans maîtrise. Si les rapides interventions policières ont permis, dans les cas concernés, de mettre un terme à l’escalade de sa violence, sa propension à frapper sans aucun motif ou pour obtenir de l’argent est particulièrement inquiétante. Il y a encore lieu de retenir, à charge, ses antécédents, le concours d’infractions et son absence d’introspection, l’appelant continuant à minimiser sa responsabilité, voire à la nier, jusqu’aux débats d’appel. Son comportement en détention est par ailleurs inquiétant, ses altercations avec ses codétenus démontrant que sa violence continue à s’exprimer malgré le cadre carcéral strict auquel il est soumis et la présence de liquide fermenté dans sa cellule relativisant sa motivation à s’éloigner de toute consommation à l’avenir. A sa décharge, il y a lieu de prendre en compte le parcours de vie particulièrement difficile de l’appelant et sa diminution moyenne de responsabilité. Les premiers juges ont indiqué tenir compte de cette diminution de responsabilité, sans toutefois préciser comment celle-ci se répercutait sur l'appréciation de la faute. La Cour de céans disposant d’un plein pouvoir d’examen lui permettant de fixer à nouveau librement la peine, le défaut de motivation constaté sera réparé en procédure d’appel. A cet égard, il y a lieu de relever que le dispositif du jugement de première</w:t>
      </w:r>
    </w:p>
    <w:p>
      <w:r>
        <w:t>- 40 - instance ne mentionne pas l’application de l’art. 19 al. 2 CP. Dès lors qu’il s’agit d’une erreur manifeste, elle sera rectifiée d’office. Procédant à sa propre appréciation, la Cour de céans considère, compte tenu des éléments susmentionnés, que la culpabilité de l’appelant est manifestement très lourde. Elle ne sera toutefois qualifiée que de lourde eu égard à la diminution moyenne de responsabilité du prévenu pour toutes les infractions commises, attestée par le rapport d’expertise psychiatrique du 7 avril 2021 (P. 56), dont les conclusions ne sont pas contestées. L’appelant est en définitive reconnu coupable de tentative de meurtre, de lésions corporelles simples, de vol, de tentative de brigandage, de brigandage, d’utilisation frauduleuse d’un ordinateur d’importance mineure, de contravention à la LStup et de contraventions au RGP de la commune de Lausanne. Sous réserve des contraventions commises, qui ne sont passibles que d’une amende, une peine privative de liberté s’impose, pour des motifs de prévention spéciale, pour sanctionner toutes les infractions en cause, de sorte qu’il y a concours au sens de l’art. 49 al. 1 CP. Les faits constitutifs de tentative de brigandage décrits au considérant 2.1 ci-dessus sont antérieurs à la condamnation de l’appelant du 6 mai 2020 par le Ministère public de l’arrondissement de l’Est vaudois à une peine privative de liberté de 45 jours pour un vol commis le 29 septembre 2019, de sorte qu’il y a concours rétrospectif partiel. Il y a dès lors lieu de fixer une peine complémentaire s’agissant de ces faits, les peines en cause étant de même genre, en tenant compte du fait que l’auteur ne doit pas être puni plus sévèrement que s’il avait fait l’objet d’un seul jugement. Ainsi, concrètement, si la tentative de brigandage du 15 février 2020 et le vol du 29 septembre 2019 avaient été jugés simultanément le 6 mai 2020, compte tenu de la culpabilité du prévenu telle qu’elle est décrite ci-dessus, c’est une peine privative de liberté d’ensemble de l’ordre de dix mois qui aurait été prononcée, soit de 8 mois et demi pour la tentative de brigandage, infraction la plus grave, peine</w:t>
      </w:r>
    </w:p>
    <w:p>
      <w:r>
        <w:t>- 41 - augmentée, par les effets du concours, de 45 jours pour réprimer le vol. Les infractions passibles d’une peine privative de liberté commises postérieurement à toute autre condamnation, soit la tentative de meurtre, les lésions corporelles simples, le vol et le brigandage, doivent faire l’objet d’une peine indépendante. L’infraction la plus grave est sans conteste le meurtre, même s’il demeure au stade de la tentative, qui justifie à lui seul le prononcé d’une peine privative de liberté de l’ordre de vingt mois. Les effets du concours conduisent à l’augmentation de cette peine de base de sept mois pour réprimer le brigandage commis au préjudice de J.________, de cinq mois pour sanctionner les lésions corporelles simples commises au préjudice de Z.________, et de quatre mois pour les vols commis, à concurrence de deux mois pour chacun d’eux. Pour ce groupe d’infractions, la peine privative de liberté doit par conséquent être arrêtée à 36 mois. Compte tenu de ce qui précède, c’est une peine privative de liberté d’ensemble de 44 mois et 15 jours qui aurait dû être infligée à l’appelant, peine partiellement complémentaire à celle prononcée le 6 mai 2020 par le Ministère public de l’arrondissement de l’Est vaudois. Dans la mesure où la quotité de la peine prononcée par le Tribunal correctionnel ne peut pas être augmentée sous peine de violer le principe de l’interdiction de la reformatio in pejus, la peine privative de liberté d’ensemble de 40 mois et 15 jours prononcée par les premiers juges doit être confirmée. A juste titre, l’appelant ne prétend pas au sursis, lequel serait de toute manière inenvisageable compte tenu de ses antécédents, du quantum de peine et vu le traitement ambulatoire qui a été ordonné et qui n’est pas contesté. La peine d’amende d’un montant de 500 fr. prononcée pour sanctionner l’utilisation frauduleuse d’un ordinateur d’importance mineure, la contravention à la LStup et les contraventions au RGP de la</w:t>
      </w:r>
    </w:p>
    <w:p>
      <w:r>
        <w:t>- 42 - commune de Lausanne, qui n’est au demeurant pas contestée, est adéquate compte tenu de la situation du prévenu et des fautes commises, et doit être confirmée, tout comme la peine privative de liberté de substitution de cinq jours à exécuter en cas de non-paiement fautif.</w:t>
      </w:r>
    </w:p>
    <w:p>
      <w:r>
        <w:rPr>
          <w:b/>
        </w:rPr>
        <w:t>E. 7.4</w:t>
      </w:r>
    </w:p>
    <w:p>
      <w:r>
        <w:t>Conformément à l’art. 51 CP, la détention subie avant jugement sera déduite de la peine privative de liberté prononcée. La déduction de la peine prononcée de deux jours à titre de réparation du tort moral pour les quatre jours passés dans des conditions illicites de détention en zone carcérale, qui n’est au demeurant pas contestée, est adéquate et doit être confirmée. Pour garantir l’exécution de la peine et de l’expulsion et compte tenu des risques de réitération et de fuite présentés par l’intéressé, le maintien de l’appelant en exécution anticipée de peine doit être ordonné.</w:t>
      </w:r>
    </w:p>
    <w:p>
      <w:r>
        <w:rPr>
          <w:b/>
        </w:rPr>
        <w:t>E. 8.1</w:t>
      </w:r>
    </w:p>
    <w:p>
      <w:r>
        <w:t>L’appelant conteste l’expulsion du territoire suisse prononcée à son encontre et invoque l’application de la clause de rigueur. Il fait valoir que son renvoi en Erythrée reviendrait à le condamner à mort et soutient que son intérêt privé à demeurer en Suisse prévaudrait sur l’intérêt public à son expulsion.</w:t>
      </w:r>
    </w:p>
    <w:p>
      <w:r>
        <w:rPr>
          <w:b/>
        </w:rPr>
        <w:t>E. 8.2.1</w:t>
      </w:r>
    </w:p>
    <w:p>
      <w:r>
        <w:t>Aux termes de l'art. 66a al. 1 let. a et c CP, le juge expulse de Suisse l'étranger qui est condamné pour meurtre (art. 111 CP) ou brigandage (art. 140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- 43 -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 TF 6B_1262/2018 du 29 janvier 2019 consid. 2.2). La clause de rigueur permet de garantir le principe de la proportionnalité (cf. art. 5 al. 2 Cst.). Elle doit être appliquée de manière restrictive (ATF 146 IV 105 consid. 3.4.2 ; ATF 144 IV 332 précité consid. 3.3.1 ; TF 6B_40/2021 et 6B_111/2021 du 29 septembre 2021 consid. 4.2). Selon la jurisprudence du Tribunal fédéral (ATF 146 IV 105 précité consid. 3 ; ATF 144 IV 332 précité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précité ; TF 6B_40/2021 et 6B_111/2021 précités ; TF 6B_708/2020 du 11 mars 2021 consid. 5.1).</w:t>
      </w:r>
    </w:p>
    <w:p>
      <w:r>
        <w:t>- 44 - L'examen de la clause de rigueur doit être effectué dans chaque cas sur la base des critères d'intégration habituels (ATF 144 IV 332 précité ; TF 6B_40/2021 et 6B_111/2021 précités).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6B_40/2021 et 6B_111/2021 précités).</w:t>
      </w:r>
    </w:p>
    <w:p>
      <w:r>
        <w:rPr>
          <w:b/>
        </w:rPr>
        <w:t>E. 8.2.2</w:t>
      </w:r>
    </w:p>
    <w:p>
      <w:r>
        <w:t>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w:t>
      </w:r>
    </w:p>
    <w:p>
      <w:r>
        <w:t>- 45 - D'après une jurisprudence constante, les relations visées par l'art. 8 CEDH sont avant tout celles qui concernent la famille dite nucléaire, soit celles qui existent entre époux ainsi qu'entre parents et enfants mineurs vivant en ménage commun (ATF 144 II 1 consid. 6.1 ; ATF 135 I 143 consid. 1.3.2 ; TF 6B_908/2019 du 5 novembre 2019 consid. 2.1.1).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w:t>
      </w:r>
    </w:p>
    <w:p>
      <w:r>
        <w:rPr>
          <w:b/>
        </w:rPr>
        <w:t>E. 8.2.3</w:t>
      </w:r>
    </w:p>
    <w:p>
      <w:r>
        <w:t>L'art. 25 al. 3 Cst. dispose que nul ne peut être refoulé sur le territoire d'un Etat dans lequel il risque la torture ou tout autre traitement ou peine cruels et inhumains. L'art. 3 § 1 de la Convention du 10 décembre 1984 contre la torture et autres peines ou traitements cruels, inhumains ou dégradants (Convention contre la torture ; RS 0.105)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(CourEDH F.G. contre Suède du 23 mars 2016 [requête n° 43611/11] § 113 ; Saadi contre Italie du 28 février 2008 [requête n° 37201/06] § 125 et 128 ; Chahal contre Royaume-Uni du 15 novembre 1996 [requête n° 22414/93] § 74 et 96). Pour tomber sous le coup de l'art. 3 CEDH, un mauvais traitement doit toutefois atteindre un minimum de gravité (CourEDH Saadi contre Italie précité § 134). L'appréciation de ce minimum dépend de</w:t>
      </w:r>
    </w:p>
    <w:p>
      <w:r>
        <w:t>- 46 - l'ensemble des données de la cause (ATF 134 I 221 consid. 3.2.1 ; TF 6B_908/2019 précité consid. 2.1.2).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(CourEDH F.G. contre Suède précité § 116 et les références citées). Selon la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 3 CEDH. Lorsque de tels éléments sont produits, il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(CourEDH Paposhvili contre Belgique du 13 décembre 2013 [requête n° 41738/10] § 186-189). Dans une affaire concernant le renvoi d'un requérant d'asile en Erythrée, la CourEDH a mis en exergue certains rapports officiels en particulier de l'Organisation des Nations unies, du bureau européen d'appui en matière d'asile (European asylum support office [EASO]) et d'autorités nationales (telles que le Secrétariat d'Etat aux Migrations). Il ressort en particulier de ces rapports que les déserteurs du service national ou les opposants au régime risquent, selon les circonstances, des sanctions accompagnées d'une incarcération dans des conditions inhumaines ou de torture en cas de retour au pays (CourEDH M.O. contre Suisse du 20 juin 2017 [requête n° 41282/16] § 40, 47, 48). La CourEDH a notamment relevé, sur la base des différents rapports, que les ressortissants érythréens ont désormais la possibilité de régulariser leur situation face au régime, moyennant le paiement d'une taxe de 2 %</w:t>
      </w:r>
    </w:p>
    <w:p>
      <w:r>
        <w:t>- 47 - imposée à la diaspora et la signature d'une lettre de regret pour avoir offensé le gouvernement en n'ayant pas accompli le service national (ibidem, § 43, 48, 52 [ch. 333 s.]). En substance, la CourEDH a retenu que la situation générale des droits humains en Erythrée était particulièrement préoccupante mais qu’elle ne représentait pas, en tant que telle, un obstacle au renvoi (ibidem, § 70). Dans sa jurisprudence, le Tribunal administratif fédéral retient que, compte tenu des conditions de vie difficiles en Erythrée, surtout du point de vue économique, la menace existentielle doit être admise en cas de circonstances personnelles particulières (cf. art. 83 al. 4 LEI) (arrêt E- 6449/2017 du 18 avril 2019 consid. 7.4 et 7.5 qui mentionne un bon état de santé et l'existence d’un bon réseau familial).</w:t>
      </w:r>
    </w:p>
    <w:p>
      <w:r>
        <w:rPr>
          <w:b/>
        </w:rPr>
        <w:t>E. 8.3</w:t>
      </w:r>
    </w:p>
    <w:p>
      <w:r>
        <w:t>En l’espèce, la tentative de meurtre, la tentative de brigandage et le brigandage commis par l’appelant remplissent les conditions d’une expulsion obligatoire, sous réserve d’une application de l’art. 66a al. 2 CP. L’appelant soutient qu’il aurait pris conscience de la gravité de ses actes, qu’il serait prêt à se soigner, que ses troubles de toxico- dépendance trouveraient leur origine dans l’incertitude dans laquelle il serait quant à la situation de sa famille, et fait valoir que son renvoi en Erythrée, pays qu’il aurait fui pour trouver asile en Suisse et dans lequel il ne se serait pas rendu depuis son départ, reviendrait à l’envoyer à la mort, dès lors qu’il serait notoire que les droits de l’homme n’y seraient pas garantis. Il fait par ailleurs valoir que le suivi ambulatoire préconisé par les experts psychiatres devrait être à même de contenir sa consommation et, partant, sa dangerosité et que son intérêt privé à demeurer en Suisse serait important dès lors qu’il risquerait la mort dans son pays d’origine. Comme l’ont relevé à juste titre les premiers juges, l’appelant n’a aucune attache en Suisse, si ce n’est un frère avec lequel il aurait noué des liens, dont il ne prétend toutefois pas qu’ils seraient particulièrement forts. S’il a fui son pays alors qu’il n’était encore qu’un</w:t>
      </w:r>
    </w:p>
    <w:p>
      <w:r>
        <w:t>- 48 - adolescent et qu’il est arrivé en Suisse à l’âge de 17 ans, il ne s’est toutefois pas intégré dans son pays d’accueil, où il avait pourtant obtenu l’asile, puis un permis de séjour. Il a au contraire sombré dans la toxicomanie et s’est ancré dans la délinquance dès son arrivée, totalisant trois condamnations à des peines privatives de liberté entre 2018 et 2020. Célibataire et sans enfant, il ne parle et ne comprend le français que difficilement, n’a pas appris à lire et à écrire et n’a jamais exercé d’emploi stable, vivant au bénéfice de l’aide sociale. Or, quand bien même il prétend ne plus avoir de nouvelles de sa famille, qui aurait elle aussi fui l’Erythrée, O.________ a vécu l’essentiel de sa vie dans ce pays, où il a exercé le métier de berger, et parle couramment l’arabe et le tigré, de sorte que s’il est vrai qu’il subirait certainement un préjudice du fait de son expulsion, une réintégration dans son pays d’origine ne semble pas particulièrement difficile. En outre, il convient de rappeler que les actes commis par le prévenu sont graves et dénotent une escalade non maîtrisée d’une violence aveugle et gratuite, celle-ci n’ayant pu être stoppée que par l’incarcération de l’appelant, qui continue toutefois à se montrer violent en prison. A cet égard, il y a lieu de relever que si le risque de récidive a été qualifié de modéré dans la situation actuelle, il doit être considéré comme élevé en cas de reprise des consommations. Or, s’il s’est dit désireux d’entreprendre un suivi psychothérapeutique et a affirmé vouloir quitter le milieu anti-social dans lequel il évoluait, l’appelant n’a manifestement toujours pas pris conscience de la gravité de ses actes, continuant à minimiser sa responsabilité, voire à la nier, jusqu’aux débats d’appel. Enfin, s’il est vrai que la situation des droits humains est extrêmement préoccupante en Erythrée, le Tribunal fédéral a confirmé qu’elle ne représentait pas, en tant que telle, un obstacle au renvoi. A cet égard, O.________ ne fait pas valoir qu’il serait un déserteur du service national ou un opposant au régime et rien n'indique qu’il ne serait pas le cas échéant en mesure de régulariser sa situation face au régime érythréen. Force est ainsi de constater que l’appelant, qui est jeune et ne souffre pas d’un grave handicap mental qui ne pourrait pas être pris en</w:t>
      </w:r>
    </w:p>
    <w:p>
      <w:r>
        <w:t>- 49 - charge dans son pays d’origine, ne peut justifier d’aucune circonstance personnelle particulière de nature à mettre sa vie en péril en cas de renvoi et qui impliquerait une mise en danger concrète de sa personne. Au vu de ce qui précède, les éléments recueillis sont insuffisants pour renoncer à l’expulsion de l’appelant, qui constitue une mesure proportionnée compte tenu de son absence d’intégration en Suisse et de la gravité des infractions retenues, étant néanmoins précisé que sa situation pourra être revue par l’autorité administrative à l’issue de l’exécution de sa – longue – peine et de la mesure prononcée en parallèle. Ce grief doit donc être rejeté et l’expulsion d’O.________ du territoire suisse pour douze ans, durée qui n’apparaît pas excessive et qui n’a au demeurant pas été contestée, confirmée.</w:t>
      </w:r>
    </w:p>
    <w:p>
      <w:r>
        <w:rPr>
          <w:b/>
        </w:rPr>
        <w:t>E. 9</w:t>
      </w:r>
    </w:p>
    <w:p>
      <w:r>
        <w:t>L’appelant conclut à ce que les conclusions civiles allouées à J.________ soient rejetées. Dès lors que la condamnation de l’appelant pour brigandage au préjudice de ce plaignant est confirmée et que cette conclusion repose sur la prémisse de l’admission de son appel sur ce point, elle doit être rejetée.</w:t>
      </w:r>
    </w:p>
    <w:p>
      <w:r>
        <w:rPr>
          <w:b/>
        </w:rPr>
        <w:t>E. 10</w:t>
      </w:r>
    </w:p>
    <w:p>
      <w:r>
        <w:t>L’appelant conclut enfin à ce que seule une partie des frais de première instance soit mise à sa charge. Dès lors que l’appelant n’est libéré du chef d’accusation d’agression que pour le motif que cette infraction est absorbée par celle de lésions corporelles simples, il ne se justifie pas de réduire les frais mis à sa charge, qu’il a occasionnés de manière illicite et fautive.</w:t>
      </w:r>
    </w:p>
    <w:p>
      <w:r>
        <w:rPr>
          <w:b/>
        </w:rPr>
        <w:t>E. 11</w:t>
      </w:r>
    </w:p>
    <w:p>
      <w:r>
        <w:t>En définitive, l’appel d’O.________ doit être partiellement admis et le jugement entrepris réformé dans le sens des considérants qui précèdent.</w:t>
      </w:r>
    </w:p>
    <w:p>
      <w:r>
        <w:t>- 50 - La liste des opérations produite par Me Véronique Fontana, défenseur d’office d’O.________, fait état de 18 h 35 d’activité d’avocate hors durée de l’audience d’appel et d’une vacation, ainsi que de débours à concurrence de 5 % des honoraires. Il n’y a pas lieu de s’écarter de la durée consacrée au mandat alléguée, si ce n’est pour en retrancher 2 heures sur les 3 heures dévolues à l’examen du dossier d’appel dès lors que l’avocate avait déjà une parfaite connaissance du dossier en première instance, et pour y ajouter la durée des débats d’appel, de 90 minutes.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Ainsi, en définitive, une indemnité défenseur d’office d'un montant de 3'705 fr., correspondant à une activité de 18 h 05 au tarif horaire de 180 fr., par 3’255 fr., à des débours à hauteur de 65 fr. 10, à une vacation à 120 fr. et à la TVA au taux de 7,7 %, par 264 fr. 90, sera allouée à Me Véronique Fontana pour la procédure d’appel. Vu l’issue de la cause, les frais de la procédure d’appel, constitués en l’espèce de l’émolument de jugement, par 4’990 fr. (art. 21 al. 1 et 2 TFIP), ainsi que de l’indemnité allouée au défenseur d’office de l’appelant, par 3'705 fr., seront mis par cinq sixièmes, soit par 7’863 fr. 35, à la charge d’O.________, qui n’obtient gain de cause que quant à sa libération du chef d’accusation d’agression et succombe dans une large mesure (art. 428 al. 1 CPP). Le solde sera laissé à la charge de l’Etat. O.________ sera tenu de rembourser à l’Etat le montant de l’indemnité en faveur de son défenseur d’office lorsque sa situation financière le permettra (art. 135 al. 4 CPP).</w:t>
      </w:r>
    </w:p>
    <w:p>
      <w:r>
        <w:t>- 51 -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