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PE20.012237 vom 29. September 2021</w:t>
      </w:r>
    </w:p>
    <w:p>
      <w:r>
        <w:t>VD Tribunal cantonal, 2021-09-29, FR</w:t>
      </w:r>
    </w:p>
    <w:p>
      <w:r>
        <w:rPr>
          <w:b/>
        </w:rPr>
        <w:t xml:space="preserve">Quelle: </w:t>
      </w:r>
      <w:r>
        <w:t>https://mcp.opencaselaw.ch/entscheid/vd_gerichte_PE20.012237</w:t>
      </w:r>
    </w:p>
    <w:p>
      <w:r>
        <w:t>FR: VD_GERICHTE PE20.012237 du 29 septembre 2021</w:t>
      </w:r>
    </w:p>
    <w:p>
      <w:r>
        <w:t>IT: VD_GERICHTE PE20.012237 del 29 settembre 2021</w:t>
      </w:r>
    </w:p>
    <w:p>
      <w:pPr>
        <w:pStyle w:val="Heading2"/>
      </w:pPr>
      <w:r>
        <w:t>Erwägungen</w:t>
      </w:r>
    </w:p>
    <w:p>
      <w:r>
        <w:rPr>
          <w:b/>
        </w:rPr>
        <w:t>E. 1</w:t>
      </w:r>
    </w:p>
    <w:p>
      <w:r>
        <w:t>CPP), et satisfaisant aux conditions de forme prescrites (art. 385 al. 1 CPP), le recours est recevable.</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interjeté en temps utile devant l’autorité compétente par la partie plaignante qui a qualité pour recourir (art. 382 al.</w:t>
      </w:r>
    </w:p>
    <w:p>
      <w:r>
        <w:rPr>
          <w:b/>
        </w:rPr>
        <w:t>E. 2.1</w:t>
      </w:r>
    </w:p>
    <w:p>
      <w:r>
        <w:t>Le recourant invoque une violation de l’art. 319 al. 1 CPP. Il reproche au Ministère public de ne pas avoir tenu compte du témoignage de M.________, qui a recueilli le récit des faits immédiatement après ceux- ci ; or, la prénommée a déclaré qu’elle avait reçu un téléphone du recourant qui lui avait dit qu’il venait de se faire étrangler par l’un de ses voisins et qu’elle devait venir vite afin d’identifier ceux-ci, dès lors il ne les connaissait pas. Elle avait en outre précisé qu’elle avait été frappée, dès lors que pour la première fois en cinq ans, elle ne l’avait jamais vu dans un tel état, soit énervé et en état de choc. Le recourant fait valoir qu’à la lecture de ce témoignage, il était difficile de soutenir qu’il aurait inventé les faits qu’il a immédiatement décrits à M.________ et qu’il aurait été dans un état tel que celui décrit par cette dernière sans avoir subi aucune agression. Par ailleurs, il ne serait pas possible de soutenir qu’il aurait adopté un comportement tel que celui reproché dans l’ordonnance pénale, sans indice d’un trouble psychique ou sans qu’il y ait eu, de la part d’A.I.________, un comportement excessif illicite qui en aurait été à l’origine. S’agissant de la prétendue attaque au couteau, il relève en outre qu’il a fait opposition à l’ordonnance pénale. Il en déduit qu’on ne saurait retenir que les propos propagés par A.I.________ ne seraient pas</w:t>
      </w:r>
    </w:p>
    <w:p>
      <w:r>
        <w:t>- 7 - mensongers, dès lors qu’ils correspondraient à une vérité judiciaire qui n’est ni définitive ni exécutoire.</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 in dubio pro duriore ».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classer la procédure s’il apparaît, sur la base de faits assez clairs pour qu’il n’y ait pas lieu de s’attendre à une appréciation différente de l’autorité de jugement (cf. ATF 143 IV 241 consid. 2.3.2), qu’un renvoi aboutirait selon toute vraisemblance à un acquittement. Enfin, le constat selon lequel aucun soupçon justifiant une mise en accusation n’est établi (art. 319 al. 1 let. a CPP) suppose que le</w:t>
      </w:r>
    </w:p>
    <w:p>
      <w:r>
        <w:t>- 8 - Ministère public ait préalablement procédé à toutes les mesures d’instruction pertinentes susceptibles d’établir l’existence de soupçons suffisants justifiant une mise en accusation (CREP 10 mai 2016/305 et les références citées).</w:t>
      </w:r>
    </w:p>
    <w:p>
      <w:r>
        <w:rPr>
          <w:b/>
        </w:rPr>
        <w:t>E. 2.3</w:t>
      </w:r>
    </w:p>
    <w:p>
      <w:r>
        <w:t>En l’espèce, pour ce qui est de la menace au moyen du couteau, les faits sont tout à fait connexes entre cette menace et la diffamation. Quant aux faits qui se sont déroulés avant, on ne saurait les séparer, étant donné qu’ils sont interdépendants. Partant, si, effectivement, N.________ a été agressé et insulté, la menace au moyen d’un couteau pourrait s’expliquer. En outre, à cet égard, l’ordonnance attaquée passe sous silence tant les explications du recourant, que les déclarations de son amie M.________, que ce soit comme témoin direct ou indirect des faits. En effet, si N.________ a admis avoir sorti un couteau en présence de C.________, qui ne parlait pas le français, il a toutefois précisé que c’était pour lui mimer une agression et lui expliquer ce qu’il venait de subir de la part d’A.I.________ et que seule M.________ était présente à ce moment-là (PV aud. 2, p. 3, R. 11). Quant à cette dernière, elle a confirmé les explications du recourant, en déclarant ce qui suit : « (…) lorsque nous parlions avec le frère de Mme B.I.________, ce dernier a refusé de nous donner le nom de l’agresseur et nous a donné de fausses indications sur le lieu où il résidait. Il a seulement dit « Family-friends ». Il faisait semblant de ne pas comprendre lorsqu’on parlait de l’agression. M. N.________ a alors sorti son couteau coupe-papier afin de montrer à cet homme pour lui mimer une agression mais il n’a jamais tenté de l’agresser. J’ai alors dit à mon ami de ranger son couteau car il faisait peur au monsieur et que ce n’était pas dans le contexte et M. N.________ l’a immédiatement rangé » (PV aud. 3, p. 3, R. 9). Au vu de ces éléments, les déclarations des personnes entendues par la police ne suffisent pas à dissiper les soupçons de la commission d’infractions par A.I.________ contre N.________. Dans ces conditions, l’instruction devra être complétée. Il appartiendra au Ministère public d’entendre tous les intervenants, soit au moins N.________,</w:t>
      </w:r>
    </w:p>
    <w:p>
      <w:r>
        <w:t>- 9 - A.I.________, B.I.________, M.________ et C.________, puis de rendre une nouvelle décision. Le recours doit donc être admis et l’ordonnance de classement annulée.</w:t>
      </w:r>
    </w:p>
    <w:p>
      <w:r>
        <w:rPr>
          <w:b/>
        </w:rPr>
        <w:t>E. 3</w:t>
      </w:r>
    </w:p>
    <w:p>
      <w:r>
        <w:t>Il résulte de ce qui précède que le recours doit être admis, l'ordonnance attaquée annulée et le dossier de la cause renvoyé au Ministère public de l’arrondissement de La Côte pour qu’il procède dans le sens des considérants. Les frais de la procédure de recours, constitués en l’espèce du seul émolument d'arrêt, par 990 fr. (art. 20 al. 1 TFIP [Tarif des frais judiciaires et indemnités en matière pénale du 28 septembre 2010 ; BLV 312.03.1]), seront laissés à la charge de l’Etat (art. 428 al. 4 CPP). Le recourant, qui a procédé avec l’assistance d’un avocat de choix et qui a obtenu gain de cause, a droit à une indemnité pour les dépenses occasionnées par l’exercice raisonnable de ses droits pour la procédure de recours, à la charge de l’Etat. Au vu de la nature de la cause et du mémoire produit, cette indemnité sera fixée à 900 fr., correspondant à 3 heures d'activité d’avocat nécessaire au tarif horaire de 300 fr., montant auquel s’ajoutent des débours forfaitaires à concurrence de 2 % (art. 19 al. 2 TDC [Tarif des dépens en matière civile du 23 novembre 2010 ; BLV 270.11.6], applicable par renvoi de l’art. 26a al. 6 TFIP), par 18 fr., ainsi que la TVA, par 70 fr. 70, de sorte que l’indemnité s'élève au total à 989 fr. en chiffres arrondis. L’intimé, qui n’a pas obtenu gain de cause, n’a pas droit à une telle indemnité.</w:t>
      </w:r>
    </w:p>
    <w:p>
      <w:r>
        <w:t>- 10 - Par ces motifs, la Chambre des recours pénale prononce : I. Le recours est admis. II. L’ordonnance du 9 avril 2021 est annulée. III. Le dossier de la cause est renvoyé au Ministère public de l’arrondissement de La Côte pour qu’il procède dans le sens des considérants. IV. Les frais d’arrêt, par 990 fr. (neuf cent nonante francs), sont laissés à la charge de l’Etat. V. Une indemnité de 989 fr. (neuf cent huitante-neuf francs) est allouée à N.________ pour la procédure de recours, à la charge de l’Etat. VI. L’arrêt est exécutoire. Le président : La greffière : Du Le présent arrêt, dont la rédaction a été approuvée à huis clos, est notifié, par l'envoi d'une copie complète, à : - Me Laurent Fischer, avocat (pour N.________), - Me Mathias Burnand, avocat (pour A.I.________), - Ministère public central ; et communiqué à : - Mme la Procureure de l’arrondissement de La Côte,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