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PE20.012135 vom 25. April 2023</w:t>
      </w:r>
    </w:p>
    <w:p>
      <w:r>
        <w:t>VD Tribunal cantonal, 2023-04-25, FR</w:t>
      </w:r>
    </w:p>
    <w:p>
      <w:r>
        <w:rPr>
          <w:b/>
        </w:rPr>
        <w:t xml:space="preserve">Quelle: </w:t>
      </w:r>
      <w:r>
        <w:t>https://mcp.opencaselaw.ch/entscheid/vd_gerichte_PE20.012135</w:t>
      </w:r>
    </w:p>
    <w:p>
      <w:r>
        <w:t>FR: VD_GERICHTE PE20.012135 du 25 avril 2023</w:t>
      </w:r>
    </w:p>
    <w:p>
      <w:r>
        <w:t>IT: VD_GERICHTE PE20.012135 del 25 aprile 2023</w:t>
      </w:r>
    </w:p>
    <w:p>
      <w:pPr>
        <w:pStyle w:val="Heading2"/>
      </w:pPr>
      <w:r>
        <w:t>Erwägungen</w:t>
      </w:r>
    </w:p>
    <w:p>
      <w:r>
        <w:rPr>
          <w:b/>
        </w:rPr>
        <w:t>E. 6.1</w:t>
      </w:r>
    </w:p>
    <w:p>
      <w:r>
        <w:t>Concluant à son acquittement, l’appelant ne conteste pas en tant que telle la quotité de la peine prononcée par les premiers juges, qui doit toutefois être examinée d’office.</w:t>
      </w:r>
    </w:p>
    <w:p>
      <w:r>
        <w:rPr>
          <w:b/>
        </w:rPr>
        <w:t>E. 6.2.1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w:t>
      </w:r>
    </w:p>
    <w:p>
      <w:r>
        <w:t>- 34 -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w:t>
      </w:r>
    </w:p>
    <w:p>
      <w:r>
        <w:rPr>
          <w:b/>
        </w:rPr>
        <w:t>E. 6.2.2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w:t>
      </w:r>
    </w:p>
    <w:p>
      <w:r>
        <w:t>- 35 - 120 consid. 5.2). Si les sanctions envisagées concrètement ne sont pas du même genre, elles doivent être prononcées cumulativement. La peine privative de liberté et la peine pécuniaire ne sont pas des sanctions du même genre (ATF 144 IV 313 consid. 1.1 ; ATF 144 IV 217 consid. 2.2).</w:t>
      </w:r>
    </w:p>
    <w:p>
      <w:r>
        <w:rPr>
          <w:b/>
        </w:rPr>
        <w:t>E. 6.3</w:t>
      </w:r>
    </w:p>
    <w:p>
      <w:r>
        <w:t>Appréciant la culpabilité de X.________, les premiers juges l’ont qualifiée de très lourde. Ils ont notamment relevé à cet égard que l’appelant s’en était pris aux biens juridiques les plus précieux, soit l’intégrité sexuelle, l’intégrité physique et la vie d’autrui. Ils ont également souligné qu’il avait profité de l’état d’alcoolisation de l’intimée et de sa supériorité physique pour parvenir à ses fins, sans aucun scrupule et qu’il persistait à contester les faits s’agissant du viol. A charge, ils ont encore retenu les antécédents de l’appelant lors de la commission des infractions à la LCR ; à décharge, ils ont retenu que les faits relatifs au viol étaient anciens et que l’appelant était alors âgé de 18 ans seulement. Les éléments de la culpabilité développés par les premiers juges sont adéquats et peuvent être confirmés par adoption de motifs (art. 82 al. 4 CPP ; jugement du 25 avril 2023, pp. 28-29). L’appelant s’est rendu coupable de lésions corporelles simples par négligence (passibles, sur plainte, d’une peine privative de liberté de trois ans au plus ou d’une peine pécuniaire selon l’art. 125 al. 1 CP ; cas 2 de l’acte d’accusation), de viol (passible d’une peine privative de liberté d’un à dix ans selon l’art. 190 al. 1 CP ; cas 1 de l’acte d’accusation), de violation simple des règles de la circulation routière (passible d’une amende selon l’art. 90 al. 1 LCR ; cas 2 de l’acte d’accusation), de violation grave qualifiée des règles de la circulation routière (passible d’une peine privative de liberté d’un à quatre ans selon l’art. 90 al. 3 et 4 LCR ; cas 3 de l’acte d’accusation), de violation de l’interdiction de conduire sous l’influence de l’alcool (passible d’une amende selon l’art. 91 al. 1 let. b LCR ; cas 2 de l’acte d’accusation) et de violation des devoirs en cas d’accident (passible d’une amende selon l’art. 92 al. 1 LCR ; cas 2 de l’acte d’accusation).</w:t>
      </w:r>
    </w:p>
    <w:p>
      <w:r>
        <w:t>- 36 - A l’égard d’un appelant qui a multiplié les infractions et qui persiste à contester sa culpabilité pour l’infraction la plus grave, la prévention spéciale impose la privation de liberté comme choix de peine pour les infractions passibles d’une telle sanction (art. 41 al. 1 let. a CP). L’infraction la plus grave est le viol. Au vu de l’ancienneté des faits et du jeune âge du prévenu au moment de la commission de ceux-ci, une peine privative de liberté de deux ans et demi paraît adéquate pour sanctionner cette infraction. Cette peine sera augmentée d’une année afin de réprimer la violation grave qualifiée des règles de la circulation routière et de deux mois supplémentaires afin de sanctionner les lésions corporelles simples par négligence. La peine privative de liberté de trois ans et huit mois prononcée à l’encontre du prévenu – ferme, au vu de sa durée incompatible avec le sursis – sera ainsi confirmée. Il en est de même de l’amende de 1'000 fr., convertible en une peine privative de liberté de dix jours en cas de non-paiement fautif, prononcée à l’encontre de X.________ afin de réprimer la violation des règles de la circulation routière, le non-respect de l’interdiction de conduire sous l’influence de l’alcool et la violation des devoirs en cas d’accident.</w:t>
      </w:r>
    </w:p>
    <w:p>
      <w:r>
        <w:rPr>
          <w:b/>
        </w:rPr>
        <w:t>E. 7</w:t>
      </w:r>
    </w:p>
    <w:p>
      <w:r>
        <w:t>Partant de la prémisse erronée de sa libération du chef d’accusation de viol, l’appelant conteste les conclusions civiles allouées à D.________. Or, sa condamnation pour cette infraction doit être confirmée, de sorte que son grief tombe à faux. Le tort moral alloué à la victime par les premiers juges se justifie tant sur le principe que sur son montant. A cet égard, la motivation développée est adéquate et peut être confirmée par adoption de motifs (art. 82 al. 4 CPP ; jugement du 25 avril 2023, pp. 32-33).</w:t>
      </w:r>
    </w:p>
    <w:p>
      <w:r>
        <w:rPr>
          <w:b/>
        </w:rPr>
        <w:t>E. 8</w:t>
      </w:r>
    </w:p>
    <w:p>
      <w:r>
        <w:t>En définitive, l’appel de X.________ doit être rejeté et le jugement attaqué intégralement confirmé. La liste d’opérations produite par Me Marcel Waser, défenseur d’office de X.________, indiquant 32h30 d’activités, dont 21h30 pour la</w:t>
      </w:r>
    </w:p>
    <w:p>
      <w:r>
        <w:t>- 37 - préparation de l’appel, est excessive. 12h seront ainsi retranchées ex aequo et bono. Le temps consacré à l’audience doit en outre être ramené à 2h05. Au tarif horaire de 180 fr. (art. 2 al. 1 let. a et 3 al. 1 RAJ [règlement sur l'assistance judiciaire en matière civile du 7 décembre 2010 ; BLV 211.02.3] par renvoi de l'art. 26b TFIP [tarif des frais de procédure et indemnités en matière pénale du 28 septembre 2010 ; BLV 312.03.1]), les honoraires s’élèvent à 3’525 fr. (19h35 x 180). Il convient d’y ajouter des débours forfaitaires à hauteur de 2 % (art. 3bis al. 1 RAJ par renvoi de l'art. 26b TFIP), soit 70 fr. 50 et une vacation à 120 francs. La TVA se chiffre à 7,7% pour les opérations effectuées en 2023 (14h d’activité d’avocat et 50 fr. 40 de débours) et à 8.1% pour les opérations effectuées dès le 1er janvier 2024 (5h35 d’activité d’avocat, 20 fr. 10 de débours et une vacation), soit au total à 290 fr. 70. L’indemnité d’office pour la procédure d’appel s’élèvera ainsi à 4’006 fr. 15 au total. Me Marina Kilchenmann, conseil juridique gratuit de D.________, a produit une liste des opérations faisant état de 5h55 d’activités nécessaires d’avocat pour la procédure d’appel. Celle-ci ne prête pas le flanc à la critique, si ce n’est que les débours de seconde instance se chiffrent à 2% (art. 3bis RAJ). Il convient d’ajuster la durée de l’audience d’appel à 2h05. Au tarif horaire de 180 fr. (art. 2 al. 1 let. a et 3 al. 1 RAJ par renvoi de l'art. 26b TFIP), les honoraires de l’avocate s’élèvent à 1’170 fr. (6h30 x 180). S’y ajoutent des débours forfaitaires à hauteur de 2 %, par 23 fr. 40 et une vacation à 120 fr. (art. 3bis al. 3 RAJ). La TVA se chiffre à 7,7% pour les opérations effectuées en 2023 (3h05 d’activité d’avocat et</w:t>
      </w:r>
    </w:p>
    <w:p>
      <w:r>
        <w:rPr>
          <w:b/>
        </w:rPr>
        <w:t>E. 11</w:t>
      </w:r>
    </w:p>
    <w:p>
      <w:r>
        <w:t>fr. 10 de débours) et à 8.1% pour les opérations effectuées dès le 1er janvier 2024 (3h25 d’activité d’avocat, 12 fr. 30 de débours et une vacation), soit au total à 104 fr. 15. L’indemnité d’office pour la procédure d’appel s’élèvera ainsi à 1'417 fr. 55 au total. Ensuite d’une erreur manifeste de calcul en raison du changement du taux de TVA au 1er janvier 2024 et de la durée de l’audience, le montant des indemnités indiqué dans le dispositif du jugement notifié aux parties le 23 janvier 2024 doit être très légèrement</w:t>
      </w:r>
    </w:p>
    <w:p>
      <w:r>
        <w:t>- 38 - revu à la hausse. Cette erreur sera rectifiée d’office, en application de l’art. 83 al. 1 CPP. Vu l’issue de la cause, les frais de la procédure d’appel, constitués de l’émolument d’audience et de jugement, par 3’670 fr. (art. 21 al. 1 et 2 TFIP) et des indemnités des avocats d’office, par 5’423 fr. 70 (4'006 fr. 15 + 1'417 fr. 55), soit au total 9’093 fr. 70, sont mis à la charge de X.________, qui succombe (art. 428 al. 1, 1re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