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PE20.011912 vom 25. Mai 2023</w:t>
      </w:r>
    </w:p>
    <w:p>
      <w:r>
        <w:t>VD Tribunal cantonal, 2023-05-25, FR</w:t>
      </w:r>
    </w:p>
    <w:p>
      <w:r>
        <w:rPr>
          <w:b/>
        </w:rPr>
        <w:t xml:space="preserve">Quelle: </w:t>
      </w:r>
      <w:r>
        <w:t>https://mcp.opencaselaw.ch/entscheid/vd_gerichte_PE20.011912</w:t>
      </w:r>
    </w:p>
    <w:p>
      <w:r>
        <w:t>FR: VD_GERICHTE PE20.011912 du 25 mai 2023</w:t>
      </w:r>
    </w:p>
    <w:p>
      <w:r>
        <w:t>IT: VD_GERICHTE PE20.011912 del 25 maggio 2023</w:t>
      </w:r>
    </w:p>
    <w:p>
      <w:pPr>
        <w:pStyle w:val="Heading2"/>
      </w:pPr>
      <w:r>
        <w:t>Erwägungen</w:t>
      </w:r>
    </w:p>
    <w:p>
      <w:r>
        <w:rPr>
          <w:b/>
        </w:rPr>
        <w:t>E. 14</w:t>
      </w:r>
    </w:p>
    <w:p>
      <w:r>
        <w:t>février 2019 consid. 2.1). 2.2.3 L’art. 3 CEDH interdit la torture ainsi que les traitements inhumains ou dégradants.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 TF 1B_771/2012 du 20 août 2013 consid. 2.1 et les références citées). 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w:t>
      </w:r>
    </w:p>
    <w:p>
      <w:r>
        <w:t>- 11 -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contre Bulgarie du 11 mars 2014, par. 43 ; TF 6B_174/2019 du 21 février 2019 consid. 2.1 ; TF 6B_1085/2017 du 28 mai 2018 consid. 3.2 et les références citées). 2.2.4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ss et les références citées ; TF 6B_433/2020 du 24 août 2020 consid. 1.2.1 ; TF 6B_1085/2017 du 28 mai 2018 consid. 3.4).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 2.2.5 Selon l’art. 14 CP, quiconque agit comme la loi l'ordonne ou l'autorise se comporte de manière licite, même si l'acte est punissable en</w:t>
      </w:r>
    </w:p>
    <w:p>
      <w:r>
        <w:t>- 12 - vertu du CP ou d'une autre loi. Même autorisé par la loi, l'acte commis dans l'accomplissement d'un devoir de fonction doit être proportionné à son but. Pour respecter la proportionnalité, il faut pondérer les valeurs qui entrent en considération : d'une part, la fin poursuivie par l'auteur,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 ATF 140 I 218 consid. 6.7.1 ; ATF 137 I 167 consid. 3.6 ; TF 6B_1085/2017 du 28 mai 2018 consid. 3.3 et 3.4). 2.2.6 Selon l’art. 24 LPol (Loi vaudoise sur la police cantonale du</w:t>
      </w:r>
    </w:p>
    <w:p>
      <w:r>
        <w:rPr>
          <w:b/>
        </w:rPr>
        <w:t>E. 17</w:t>
      </w:r>
    </w:p>
    <w:p>
      <w:r>
        <w:t>novembre 1975 ; BLV 133.11), dont le titre marginal est « contrainte physique », il est interdit au fonctionnaire de police de faire subir à quiconque un outrage ou des mauvais traitements ; la police peut, dans l’accomplissement de son service, utiliser la force, dans une mesure proportionnée aux circonstances, lorsqu’il n’existe pas d’autre moyen d’agir. 2.3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ATF 140 I 285 consid. 6.3.1 ; TF 6B_528/2019 du 17 juillet 2019 consid. 2.1).</w:t>
      </w:r>
    </w:p>
    <w:p>
      <w:r>
        <w:t>- 13 - 2.4 En l’espèce, la version des agents de police et celle de la recourante sur la manière dont l’intervention s’est déroulée est radicalement différente. On ne peut donc a priori rien tirer des allégations des uns et des autres et il faut ainsi se référer aux autres éléments du dossier. Dans son arrêt de renvoi ensuite de l’ordonnance de non- entrée en matière, la Cour de céans avait invité le Ministère public central à identifier le voisin qui avait voulu appeler la police. Dans la mesure où même l’agent de police M.________ admet la véracité de cet événement, l’état de fait est manifestement incomplet et inexact si l’enquête a révélé que seul le voisin Y.________ était dans l’immeuble, ce qui est forcément faux puisque ce n’est pas lui qui a crié d’appeler la police. L’enquête doit donc être plus précise et complétée sur ce point. Par ailleurs, contrairement à ce qui est retenu dans l’ordonnance contestée, aucun des deux rapports médicaux n’indique que les lésions constatées sont compatibles avec la version des faits des agents relative aux gestes de force utilisés. Les lésions sont compatibles avec la version servie par la recourante, puisque seule sa version a été entendue par les médecins. Il conviendrait donc, à tout le moins, de demander au CURML d’indiquer si ces lésions sont compatibles avec la version servie par les policiers. La production des pages topiques du manuel de formation n’indique pas qui doit suivre cette formation et si ces deux agents l’ont suivie. Un complément d’instruction s’avère également nécessaire sur ces questions. Le Ministère public central retient que les auditions des employés de l’Office des poursuites et faillites n’ont rien apporté. Or, si l’on se réfère à la déclaration de X.________ (PV aud. 7), cet employé a été suffisamment remué pour dire qu’il n’avait jamais vu cela en 17 ans de carrière et pour qu’il conseille lui-même à la recourante d’aller porter plainte.</w:t>
      </w:r>
    </w:p>
    <w:p>
      <w:r>
        <w:t>- 14 - La recourante a requis une confrontation et diverses mesures d’instruction auxquelles il n’a pas été donné suite. En particulier, elle a sollicité de pouvoir être présente lors de l’audition des deux agents incriminés. Dans la mesure où les seules auditions de ces deux personnes l’ont été en dehors de la présence de la recourante ou de son conseil, et uniquement lors de l’enquête préliminaire, il faut là aussi constater que le droit d’être entendu de la recourante n’a pas été respecté, celle-ci n’étant pas en mesure de contre-interroger les agents en question. Il résulte de ce qui précède que l’enquête doit encore être complétée et que le Ministère public central ne pouvait pas prononcer le classement de la procédure en l’état du dossier. 3. En définitive, le recours, bien fondé, doit être admis, l’ordonnance contestée annulée et le dossier de la cause renvoyé au Ministère public central pour qu’il procède dans le sens des considérants. Compte tenu de la nature de l’affaire et de l’acte de recours déposé, l’indemnité allouée au conseil juridique gratuit de A.H.________ sera fixée à 810 fr. sur la base d’une durée d’activité de 4h30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16 fr. 20, et la TVA au taux de 7,7 %, par 63 fr. 60, soit à 890 fr. au total en chiffres arrondis. Vu le sort du recours, les frais de la procédure, constitués en l’espèce de l’émolument d’arrêt, par 1’430 fr. (art. 20 al. 1 TFIP), et des frais imputables à l’assistance du conseil juridique gratuit de la</w:t>
      </w:r>
    </w:p>
    <w:p>
      <w:r>
        <w:t>- 15 - recourante, par 890 fr., seront laissés à la charge de l’Etat (art. 428 al. 4 CPP). Par ces motifs, la Chambre des recours pénale prononce : I. Le recours est admis. II. L’ordonnance du 10 novembre 2022 est annulée. III. Le dossier de la cause est renvoyé au Ministère public central pour qu’il procède dans le sens des considérants. IV. L’indemnité allouée à Me Anne-Luce Julsaint Buonomo, conseil juridique gratuit de A.H.________, est fixée à 890 fr. (huit cent nonante francs). V. Les frais d’arrêt, par 1'430 fr. (mille quatre cent trente francs), ainsi que l’indemnité due au conseil juridique gratuit de A.H.________, par 890 fr. (huit cent nonante francs), sont laissés à la charge de l’Etat. VI. L’arrêt est exécutoire. La présidente : La greffière : Du Le présent arrêt, dont la rédaction a été approuvée à huis clos, est notifié, par l'envoi d'une copie complète, à : - Me Anne-Luce Julsaint Buonomo, avocate (pour A.H.________), - Ministère public central, et communiqué à : - M. le Procureur du Ministère public central, division affaires spéciales,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