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PE20.011903 vom 19. Juli 2022</w:t>
      </w:r>
    </w:p>
    <w:p>
      <w:r>
        <w:t>VD Tribunal cantonal, 2022-07-19, FR</w:t>
      </w:r>
    </w:p>
    <w:p>
      <w:r>
        <w:rPr>
          <w:b/>
        </w:rPr>
        <w:t xml:space="preserve">Quelle: </w:t>
      </w:r>
      <w:r>
        <w:t>https://mcp.opencaselaw.ch/entscheid/vd_gerichte_PE20.011903</w:t>
      </w:r>
    </w:p>
    <w:p>
      <w:r>
        <w:t>FR: VD_GERICHTE PE20.011903 du 19 juillet 2022</w:t>
      </w:r>
    </w:p>
    <w:p>
      <w:r>
        <w:t>IT: VD_GERICHTE PE20.011903 del 19 luglio 2022</w:t>
      </w:r>
    </w:p>
    <w:p>
      <w:pPr>
        <w:pStyle w:val="Heading2"/>
      </w:pPr>
      <w:r>
        <w:t>Erwägungen</w:t>
      </w:r>
    </w:p>
    <w:p>
      <w:r>
        <w:rPr>
          <w:b/>
        </w:rPr>
        <w:t>E. 5</w:t>
      </w:r>
    </w:p>
    <w:p>
      <w:r>
        <w:t>L’appelante conclut au rejet des conclusions civiles du plaignant.</w:t>
      </w:r>
    </w:p>
    <w:p>
      <w:r>
        <w:rPr>
          <w:b/>
        </w:rPr>
        <w:t>E. 5.1</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2e éd., Bâle 2019, n. 6 ad art. 126 CPP ; Moreillon/Parein-Reymond, Code de procédure pénale, Petit commentaire, 2e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 Jeandin/Fontanet, CR CPP, nn. 10-11 ad art. 126 CPP ; Dolge, in Basler Kommentar, Schweizerische Strafprozessordnung, Jugendstrafprozessordnung, 2e éd., Bâle 2014, n. 21 ad art. 126 CPP).</w:t>
      </w:r>
    </w:p>
    <w:p>
      <w:r>
        <w:t>- 20 -</w:t>
      </w:r>
    </w:p>
    <w:p>
      <w:r>
        <w:rPr>
          <w:b/>
        </w:rPr>
        <w:t>E. 5.2</w:t>
      </w:r>
    </w:p>
    <w:p>
      <w:r>
        <w:t>En l'espèce, les faits ayant justifié l'accusation d'abus de confiance ne sont pas établis clairement (cf. consid. 4.2 supra), de sorte que le renvoi du plaignant à agir par la voie civile est justifié et doit être confirmé. L’appel, mal fondé, doit être rejeté sur ce point.</w:t>
      </w:r>
    </w:p>
    <w:p>
      <w:r>
        <w:rPr>
          <w:b/>
        </w:rPr>
        <w:t>E. 6</w:t>
      </w:r>
    </w:p>
    <w:p>
      <w:r>
        <w:t>L'appelante conteste devoir supporter les frais de première instance. Elle demande qu'ils soient mis à la charge de l'Etat ou à celle du plaignant.</w:t>
      </w:r>
    </w:p>
    <w:p>
      <w:r>
        <w:rPr>
          <w:b/>
        </w:rPr>
        <w:t>E. 6.1</w:t>
      </w:r>
    </w:p>
    <w:p>
      <w:r>
        <w:t>L’art. 426 CPP dispose que le prévenu supporte les frais de procédure s'il est condamné (al. 1), ou s’il a de manière illicite et fautive, provoqué l'ouverture de la procédure ou rendu plus difficile la conduite de celle-ci (al. 2).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Il faut que la partie plaignante ait déposé une ou plusieurs conclusions civiles (ATF 138 IV 248 consid. 4.1).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w:t>
      </w:r>
    </w:p>
    <w:p>
      <w:r>
        <w:t>- 21 -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 4.2.2 ; TF 6B_108/2018 du 12 juin 2018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6B_108/2018 précité consid. 3.1; CAPE 30 juin 2021/236). Dans une jurisprudence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Il existe un parallélisme entre la question de la répartition des frais et celle de l'indemnisation. Une personne ayant porté plainte pour une infraction poursuivie d'office ne peut se voir imputer les frais de la procédure qu'aux conditions restrictives de l'art. 427 al. 1, respectivement de l'art. 417 CPP (ATF 138 IV 248 consid. 4.4.2 ; ATF 147 IV 47 consid. 4.2.6 ; TF 6B_1458/2020 du 7 avril 2021 consid. 2.1, s'agissant de l'indemnisation du prévenu). Cette réglementation (art. 427 al. 1 et 2 CPP) n'est pas impérative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w:t>
      </w:r>
    </w:p>
    <w:p>
      <w:r>
        <w:t>- 22 - sont ou non mis à la charge de la partie plaignante. Le juge doit statuer selon les règles du droit et de l'équité (art. 4 CC ; ATF 138 IV 248 consid. 4.2.4).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(TF 6B_538/2021 du 8 décembre 2021 consid. 1.1.1 ; TF 6B_369/2018 du 7 février 2019 consid. 2.1 ; TF 6B_446/2015 du 10 juin 2015 consid. 2.1 2 ; cf. ATF 138 III 669 consid. 3.1).</w:t>
      </w:r>
    </w:p>
    <w:p>
      <w:r>
        <w:rPr>
          <w:b/>
        </w:rPr>
        <w:t>E. 6.2</w:t>
      </w:r>
    </w:p>
    <w:p>
      <w:r>
        <w:t>En l'espèce, l’appelante doit supporter les frais s'agissant de la tentative de contrainte, qui est retenue et qu’on arrêtera à un quart des frais de la cause. En revanche, elle est libérée de l'accusation d'abus de confiance pour le motif que les faits ne sont pas clairement établis. Par conséquent, l’appelante ne doit pas supporter les frais y relatifs, qui constituent l’essentiel de la cause et seront donc fixés à trois quarts des frais de la procédure. Ces frais doivent être mis à la charge du plaignant qui a participé à la procédure et pris des conclusions civiles. Compte tenu de ce qui précède, les frais de la procédure de première instance, arrêtés à 6'117 fr. 85, doivent être mis par un quart, soit par 1'529 fr. 45, à la charge de l’appelante et par trois quarts, soit par 4'588 fr. 40, à la charge du plaignant.</w:t>
      </w:r>
    </w:p>
    <w:p>
      <w:r>
        <w:rPr>
          <w:b/>
        </w:rPr>
        <w:t>E. 7</w:t>
      </w:r>
    </w:p>
    <w:p>
      <w:r>
        <w:t>L'appelante réclame l’allocation en sa faveur d’un montant de 4'545 fr. 60 au titre d’une indemnité de l'art. 429 CPP ou de l'art. 432 CPP pour la période précédant la désignation de son avocat comme défenseur d'office.</w:t>
      </w:r>
    </w:p>
    <w:p>
      <w:r>
        <w:t>- 23 -</w:t>
      </w:r>
    </w:p>
    <w:p>
      <w:r>
        <w:rPr>
          <w:b/>
        </w:rPr>
        <w:t>E. 7.1</w:t>
      </w:r>
    </w:p>
    <w:p>
      <w:r>
        <w:t>Selon l'art. 432 al. 1 CPP, le prévenu qui obtient gain de cause peut demander à la partie plaignante une juste indemnité pour les dépenses occasionnées par les conclusions civiles. Le CPP limite ainsi le droit à l’indemnisation aux seules dépenses occasionnées par les conclusions civiles, et non pour l’ensemble des actes effectués dans le cadre de la procédure pénale (Moreillon/Parein-Reymond, Petit commentaire du CPP, 2e éd., Bâle 2017, n. 2 ad art. 432 CPP et les références citées).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se conçoit à l'aune de l'art. 429 al. 1 let. a CPP, dont on déduit que les frais de défense relatifs à l'aspect pénal sont en règle générale supportés par l'Etat, en conséquence du principe selon lequel l'Etat assume la responsabilité de l'action pénale (ATF 141 IV 476 consid. 1.1 ; ATF 139 IV 45 consid. 1.2). L'art. 432 CPP représente toutefois, sur ce plan, un correctif voulu par le législateur pour tenir compte des situations dans lesquelles la procédure est menée davantage dans l'intérêt de la partie plaignante ou lorsque celle-ci en a sciemment compliqué la mise en œuvre (ibid.). La formulation de l'art. 432 al. 2 CPP est au demeurant similaire à celle de l'art. 427 al. 2 CPP. Elle doit par conséquent être interprétée de la même manière (cf. ATF 138 IV 248 consid. 5.3 in fine ; TF 6B_108/2018 précité consid. 4.1). Lorsque la partie plaignante ou le plaignant supporte les frais en application de l'art. 427 al. 2 CPP, une éventuelle indemnité allouée au prévenu peut en principe être mise à la charge de la partie plaignante ou du plaignant en vertu de l'art. 432 al. 2 CPP (TF 6B_108/2018 précité consid. 4.1).</w:t>
      </w:r>
    </w:p>
    <w:p>
      <w:r>
        <w:t>- 24 -</w:t>
      </w:r>
    </w:p>
    <w:p>
      <w:r>
        <w:rPr>
          <w:b/>
        </w:rPr>
        <w:t>E. 7.2</w:t>
      </w:r>
    </w:p>
    <w:p>
      <w:r>
        <w:t>En l’espèce, l’appelante a conclu à l’allocation d’un montant de 4'545 fr. 60 au titre d’une indemnité de l'art. 432 CPP. Par parallélisme avec le sort des frais de première instance, il convient d’allouer à l’appelante une indemnité réduite, correspondant à trois quarts du montant réclamé, qui n’est pas excessif, soit un montant de 3'409 fr. 20, à la charge de B.B.________.</w:t>
      </w:r>
    </w:p>
    <w:p>
      <w:r>
        <w:rPr>
          <w:b/>
        </w:rPr>
        <w:t>E. 8</w:t>
      </w:r>
    </w:p>
    <w:p>
      <w:r>
        <w:t>Compte tenu de l’acquittement de l’appelante du chef d’accusation d’abus de confiance, il convient de revoir la peine infligée en première instance.</w:t>
      </w:r>
    </w:p>
    <w:p>
      <w:r>
        <w:rPr>
          <w:b/>
        </w:rPr>
        <w:t>E. 8.1.1</w:t>
      </w:r>
    </w:p>
    <w:p>
      <w:r>
        <w:t>L’art. 47 CP dispose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t>- 25 -</w:t>
      </w:r>
    </w:p>
    <w:p>
      <w:r>
        <w:rPr>
          <w:b/>
        </w:rPr>
        <w:t>E. 8.1.2</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rPr>
          <w:b/>
        </w:rPr>
        <w:t>E. 8.1.3</w:t>
      </w:r>
    </w:p>
    <w:p>
      <w:r>
        <w:t>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8.2</w:t>
      </w:r>
    </w:p>
    <w:p>
      <w:r>
        <w:t>En l’espèce, l’appelante est reconnue coupable de tentative de contrainte. Comme l’a retenu le tribunal de première instance, sa culpabilité n’est pas négligeable. En effet, même dans le cas d’une séparation houleuse concluant une vie de couple jugée insatisfaisante, tous les coups ne sont pas permis et le comportement de l’appelante ne saurait être banalisé. Par ses agissements, elle n’a pas hésité à s’en prendre à la liberté et au patrimoine du plaignant. Elle ne s’est guère remise en cause, mais a au contraire entrepris de reporter la responsabilité de ses actes sur ce dernier. Son comportement doit être sanctionné par une peine pécuniaire de 30 jours-amende. Il convient de confirmer le montant du jour-amende, fixé à 30 fr., ainsi que l’octroi du sursis à l’exécution de la peine pendant un délai d’épreuve de deux ans, ces points n’étant pas contestés. On peut renoncer à prononcer une amende à titre de sanction immédiate, la menace de l’exécution de la</w:t>
      </w:r>
    </w:p>
    <w:p>
      <w:r>
        <w:t>- 26 - peine prononcée étant suffisante pour dissuader l’appelante de poursuivre dans son comportement.</w:t>
      </w:r>
    </w:p>
    <w:p>
      <w:r>
        <w:rPr>
          <w:b/>
        </w:rPr>
        <w:t>E. 9</w:t>
      </w:r>
    </w:p>
    <w:p>
      <w:r>
        <w:t>En définitive, l’appel est partiellement admis et le jugement entrepris réformé dans le sens des considérants. Me Baptiste Viredaz a produit une liste d’opérations (P. 52), alléguant avoir consacré 28h10 à son mandat, dont 45 minutes assumées par un avocat breveté. Le temps annoncé pour la rédaction de la déclaration d’appel, soit un total de 17 heures, apparaît disproportionné, les arguments présentés en appel ayant déjà tous été soulevés en première instance. On admettra une durée de 9 heures pour la rédaction de cette écriture. Les 5 heures annoncées pour la préparation de l’audience d’appel sont également excessives et doivent être ramenées à 2 heures. On retiendra ainsi que l’avocat breveté a consacré 45 minutes à ce mandat, rémunérées au tarif horaire de 180 fr., alors que l’avocat- stagiaire y a consacré 16h10 minutes, rémunérées au tarif horaire de 110 fr. On ajoutera 30 minutes à cette durée pour tenir compte du temps d’audience. Compte tenu de ce qui précède, c’est une indemnité de défenseur d'office de 2’278 fr. 70, TVA et débours inclus, qui doit être allouée à Me Baptiste Viredaz pour la procédure d'appel. Vu l’issue de la cause, les frais de la procédure d’appel, par 4'658 fr. 70, constitués en l’espèce de l’émolument d’audience et de jugement, par 2’380 fr. (art. 21 al. 1 et 2 TFIP), ainsi que de l’indemnité allouée au défenseur d’office, par 2’278 fr. 70, seront mis par un quart, soit 1’164 fr. 70, à la charge de l'appelante, le solde étant laissé à la charge de l'Etat. A.B.________ ne sera tenue de rembourser à l’Etat le quart de l'indemnité de défense d'office mise à sa charge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