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PE20.011810 vom 22. September 2020</w:t>
      </w:r>
    </w:p>
    <w:p>
      <w:r>
        <w:t>VD Tribunal cantonal, 2020-09-22, FR</w:t>
      </w:r>
    </w:p>
    <w:p>
      <w:r>
        <w:rPr>
          <w:b/>
        </w:rPr>
        <w:t xml:space="preserve">Quelle: </w:t>
      </w:r>
      <w:r>
        <w:t>https://mcp.opencaselaw.ch/entscheid/vd_gerichte_PE20.011810</w:t>
      </w:r>
    </w:p>
    <w:p>
      <w:r>
        <w:t>FR: VD_GERICHTE PE20.011810 du 22 septembre 2020</w:t>
      </w:r>
    </w:p>
    <w:p>
      <w:r>
        <w:t>IT: VD_GERICHTE PE20.011810 del 22 settembre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Interjeté dans le délai légal auprès de l’autorité compétente par la partie plaignante, qui a la qualité pour recourir (cf. art. 382 al. 1 CPP), le recours est recevable.</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w:t>
      </w:r>
    </w:p>
    <w:p>
      <w:r>
        <w:t>- 4 -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A teneur de l’art. 310 al. 1 let. c CPP, il en va de même s'il ressort de la dénonciation ou du rapport de police que les conditions mentionnées à l'art. 8 CPP imposent de renoncer à l'ouverture d'une poursuite pénale.</w:t>
      </w:r>
    </w:p>
    <w:p>
      <w:r>
        <w:rPr>
          <w:b/>
        </w:rPr>
        <w:t>E. 2.2.1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w:t>
      </w:r>
    </w:p>
    <w:p>
      <w:r>
        <w:t>- 5 - certaine durée au moins. Il ne suffit pas que l'auteur ait la volonté d'appropriation, celle-ci devant se manifester par un comportement extérieurement constatable (ATF 129 IV 223 consid. 6.2.1, JdT 2005 IV 3 ; ATF 118 IV 148 consid. 2a, JdT 1994 IV 105).</w:t>
      </w:r>
    </w:p>
    <w:p>
      <w:r>
        <w:rPr>
          <w:b/>
        </w:rPr>
        <w:t>E. 2.2.2</w:t>
      </w:r>
    </w:p>
    <w:p>
      <w:r>
        <w:t>Se rend coupable de vol au sens de l’art. 139 ch. 1 CP celui qui, pour se procurer ou procurer à un tiers un enrichissement illégitime, aura soustrait une chose mobilière appartenant à autrui dans le but de se l’approprier.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infraction suppose la réunion de cinq éléments constitutifs, soit une chose mobilière appartenant à autrui, un acte de soustraction, l'intention, un dessein d'appropriation et un dessein d'enrichissement illégitime (Dupuis et al., op. cit., nn. 5-6 ad art. 139 CP). La soustraction se définit comme la rupture de la possession d’autrui, contraire à la volonté de l’ayant droit, aboutissant à la création d’une nouvelle possession, en général en faveur de l’auteur lui-même (ATF 132 IV 108 consid. 2.1 ; ATF 115 IV 104 consid. 1c/aa, JdT 1990 IV 139 ; ATF 112 IV 9 consid. 2a, JdT 1987 IV 5). Le vol est une infraction de nature intentionnelle. L’élément subjectif doit englober l’appartenance à autrui de la chose mobilière et l’auteur doit s’accaparer celle-ci avec conscience et volonté. Un simple dessein d’appropriation et d’enrichissement illégitime suffit. En cas d’infraction contre le patrimoine, l’art. 172ter CP prévoit que si l’acte ne visait qu’un élément patrimonial de faible valeur ou un dommage de moindre importance, l’auteur sera, sur plainte, puni d’une amende (al. 1), sous réserve en particulier des cas de vol qualifié au sens de l’art. 139 ch. 2 et 3 CP (cf. al. 2). Un élément patrimonial est de faible valeur s'il ne vaut pas plus de 300 fr. (ATF 142 IV 129 consid. 3.1). Le critère déterminant est l'intention de l'auteur et non le résultat. L'art.</w:t>
      </w:r>
    </w:p>
    <w:p>
      <w:r>
        <w:t>- 6 - 172ter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 (ATF 123 IV 197 consid. 2a; ATF 123 IV 113 consid. 3f ; TF 6B_217/2012 du 20 juillet 2012 consid. 4.3).</w:t>
      </w:r>
    </w:p>
    <w:p>
      <w:r>
        <w:rPr>
          <w:b/>
        </w:rPr>
        <w:t>E. 2.2.3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w:t>
      </w:r>
    </w:p>
    <w:p>
      <w:r>
        <w:t>- 7 -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2.3</w:t>
      </w:r>
    </w:p>
    <w:p>
      <w:r>
        <w:t>En l’espèce, le recourant fait valoir qu’il aurait requis la restitution du bois – dont il a estimé la valeur à 200 fr. – auprès de son oncle à plusieurs reprises avant de déposer plainte pénale. Dans un premier temps, Y.________ aurait toutefois nié avoir un quelconque lien avec la disparition du bois. Il a finalement admis, dans un courrier du 27 mai 2020 adressé à son neveu, avoir « changé de place » le bois litigieux « pour [lui] faire prendre conscience de ces choses » (P. 6). Lors de son audition par la police, le 29 juin 2020, il a expliqué avoir déplacé les objets litigieux « afin que [son neveu] prenne conscience qu’il l’embêtait » (PV aud. du 29 juin 2020, R. 3). A cette occasion, il a précisé qu’il restituerait le bois au plaignant « quand il aura[it] déplacé ou abaissé un bac en béton [de 165 cm et dont il estimait qu’il était trop proche de la limite de sa propriété] à 1 mètre de hauteur » (ibidem, R. 4).</w:t>
      </w:r>
    </w:p>
    <w:p>
      <w:r>
        <w:t>- 8 - Au vu de ces éléments, il apparaît qu’Y.________ a probablement, sans droit, pris possession du bois du plaignant, qui se trouvait sur la propriété de celui-ci, avant de l’entreposer dans son propre garage durant près de quatre mois. Il aurait tout d’abord nié un quelconque lien avec la disparition des objets, avant d’admettre s’en être emparé dans l’attente de « diverses choses » de la part de son neveu. Certes, le bois litigieux a finalement été restitué le 27 juillet 2020, conformément à la requête contenue dans le courrier du Ministère public du 21 juillet 2020. Cette restitution apparaît toutefois avoir été davantage dictée par l’ordre du Ministère public que par la volonté d’Y.________. En définitive, à ce stade, on ne saurait écarter l’hypothèse selon laquelle Y.________ a soustrait les objets en bois litigieux à son propriétaire, dans le but d’en déposséder le recourant et/ou de contraindre celui-ci à certains actes. Si la question de l’enrichissement illégitime n’apparaît pas déterminante, on ne saurait écarter la réalisation des infractions d’appropriation illégitime, voire de contrainte. Il appartiendra en conséquence au Ministère public d’ouvrir une instruction et d’examiner la réalisation de ces éventuelles infractions pour la période de quatre mois durant laquelle le bois appartenant à X.________ a été entreposé dans le garage d’Y.________.</w:t>
      </w:r>
    </w:p>
    <w:p>
      <w:r>
        <w:rPr>
          <w:b/>
        </w:rPr>
        <w:t>E. 3</w:t>
      </w:r>
    </w:p>
    <w:p>
      <w:r>
        <w:t>Au vu de ce qui précède, le recours doit être admis, l'ordonnance du 7 août 2020 annulée et la cause renvoyée au Ministère public de l'arrondissement de l’Est vaudois pour qu'il procède dans le sens des considérants qui précèdent. Les frais de la procédure de recours, par 880 fr. (art. 20 al. 1 TFIP [tarif des frais de procédure et indemnités en matière pénale du 28 septembre 2010; BLV 312.03.1]), seront laissés à la charge de l'Etat (art. 423 al. 1 CPP). Le montant de 550 fr. versé par le recourant à titre de sûreté lui sera restitué (art. 7 TFIP).</w:t>
      </w:r>
    </w:p>
    <w:p>
      <w:r>
        <w:t>- 9 - Par ces motifs, la Chambre des recours pénale prononce : I. Le recours est admis. II. L’ordonnance du 7 août 2020 est annulée. III. Le dossier de la cause est renvoyé au Ministère public de l'arrondissement de l’Est vaudois pour qu'il procède dans le sens des considérants. IV. Les frais d’arrêt, par 880 fr. (huit cent huitante francs), sont laissés à la charge de l'Etat. V. Le montant de 550 fr. (cinq cent cinquante francs) versé par X.________ à titre de sûretés lui est restitué. VI. L’arrêt est exécutoire. Le président : La greffière : Du Le présent arrêt, dont la rédaction a été approuvée à huis clos, est notifié, par l'envoi d'une copie complète, à : - M. X.________, - M. Y.________, - Ministère public central, et communiqué à : - Mme la Procureure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