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PE20.011713 vom 8. November 2021</w:t>
      </w:r>
    </w:p>
    <w:p>
      <w:r>
        <w:t>VD Tribunal cantonal, 2021-11-08, FR</w:t>
      </w:r>
    </w:p>
    <w:p>
      <w:r>
        <w:rPr>
          <w:b/>
        </w:rPr>
        <w:t xml:space="preserve">Quelle: </w:t>
      </w:r>
      <w:r>
        <w:t>https://mcp.opencaselaw.ch/entscheid/vd_gerichte_PE20.011713</w:t>
      </w:r>
    </w:p>
    <w:p>
      <w:r>
        <w:t>FR: VD_GERICHTE PE20.011713 du 8 novembre 2021</w:t>
      </w:r>
    </w:p>
    <w:p>
      <w:r>
        <w:t>IT: VD_GERICHTE PE20.011713 del 8 novembre 2021</w:t>
      </w:r>
    </w:p>
    <w:p>
      <w:pPr>
        <w:pStyle w:val="Heading2"/>
      </w:pPr>
      <w:r>
        <w:t>Erwägungen</w:t>
      </w:r>
    </w:p>
    <w:p>
      <w:r>
        <w:rPr>
          <w:b/>
        </w:rPr>
        <w:t>E. 3</w:t>
      </w:r>
    </w:p>
    <w:p>
      <w:r>
        <w:t>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w:t>
      </w:r>
    </w:p>
    <w:p>
      <w:r>
        <w:t>- 25 - résulter d’un geste que d’une allusion. Le comportement de l’auteur doit être examiné dans son ensemble pour déterminer ce que le destinataire était fondé à redouter (Corboz, Les infractions en droit suisse, vol. I, 3e éd., Berne 2010, n. 8 ad art. 180 CP). Subjectivement, l'auteur doit avoir l'intention non seulement de proférer des menaces graves, mais aussi d'alarmer ou d'effrayer le destinataire. Le dol éventuel suffit (TF 6B_508/2021 précité ; TF 6B_135/2021 précité ; TF 6B_1314/2018 précité). 3.1.3 Aux termes de l'art. 177 CP, celui qui, de tout autre manière, aura par la parole, l'écriture, l'image, le geste ou par des voies de fait, attaqué autrui dans son honneur sera, sur plainte, puni d'une peine pécuniaire de 90 jours-amende au plus.</w:t>
      </w:r>
    </w:p>
    <w:p>
      <w:r>
        <w:rPr>
          <w:b/>
        </w:rPr>
        <w:t>E. 3.2.1</w:t>
      </w:r>
    </w:p>
    <w:p>
      <w:r>
        <w:t>En l’espèce, l'appelant ne fait rien valoir d'autre que ce qui a déjà été plaidé en première instance. S’agissant des faits décrits au chiffre 1 de l’acte d’accusation (cf. ch. 2.1 supra), les premiers juges ont correctement apprécié la situation à savoir que les menaces ne reposent pas que sur les dires de l'épouse mais également sur les aveux de l'appelant, qui a déclaré aux experts avoir insulté son épouse lors d'accès de colère, admis avoir tenté de l'intimider en la menaçant de mort, mais ne pas avoir eu l'intention de la tuer. S'agissant de ce qu'il a déclaré à sa belle-mère le 16 juillet 2020, l’appelant a admis avoir dit des choses qu'il n'aurait pas dû dire et a même reconnu avoir menacé sa belle-famille dans un courrier adressé à sa fille D.F.________, en lui précisant que c'était du « blabla » (P. 54). Si ses souvenirs étaient confus en première instance, l’appelant a néanmoins reconnu l'avoir menacée. A cela s'ajoute que les déclarations de la plaignante sont détaillées et constantes, elle a décrit sa peur, qui grandissait au fil du temps. Certes elle avait pris les choses à la rigolade la première fois mais tel n'était plus le cas ensuite. On relève que lors des menaces du 16 juillet 2020, relatées au chiffre 5 de l’acte d’accusation (cf. ch. 2.4 supra), elle a tout d’abord demandé à sa sœur de l'accompagner avant de se rendre au domicile de l’appelant pour</w:t>
      </w:r>
    </w:p>
    <w:p>
      <w:r>
        <w:t>- 26 - récupérer ses enfants, puis elle a sollicité l'aide de la Police, ce qui correspond parfaitement au comportement de quelqu'un qui se considère en danger. On ne voit au demeurant pas en quoi le fait d'affronter l'appelant au cours de certaines altercations devrait exclure que l'infraction de menace soit retenue. Aux débats d’appel, la plaignante a déclaré avoir encore peur de l’appelant, ajoutant qu’en sortant de prison, il voudra « finir le travail ». A l’appui de cette crainte, elle a indiqué que l’appelant lui écrivait directement, ce qui démontrait qu’il avait cherché son adresse, ce qui l’inquiétait d’autant plus.</w:t>
      </w:r>
    </w:p>
    <w:p>
      <w:r>
        <w:rPr>
          <w:b/>
        </w:rPr>
        <w:t>E. 3.2.2</w:t>
      </w:r>
    </w:p>
    <w:p>
      <w:r>
        <w:t>Quant aux menaces qualifiées retenues à l’encontre de l’appelant le jour de son arrestation du 16 juillet 2020 (chiffre 5 de l’acte d’accusation, cf. ch. 2.4 supra), il est exact que J.________ a déclaré qu'au moment de son arrestation, ce dernier n'avait plus rien dit et s'était laissé faire. Cependant, le témoin M.________ a indiqué que c'est après avoir été emmené par la Police, que l'appelant a tenu des propos en portugais, que les policiers n'ont certainement pas compris, et selon lesquels il allait « finir le boulot » à sa sortie de prison (PV aud. 8). Il est ainsi probable que le témoin J.________ n'a pas entendu ses propos. Quoiqu'il en soit, l'appelant ne conteste pas avoir menacé de mort la plaignante avant son arrestation si bien que l'infraction est de toutes manières consommée. Compte tenu de l’ensemble de ces éléments, il convient de rejeter l’appel sur ce point et de confirmer la condamnation de l’appelant pour menaces qualifiées et injure.</w:t>
      </w:r>
    </w:p>
    <w:p>
      <w:r>
        <w:rPr>
          <w:b/>
        </w:rPr>
        <w:t>E. 4</w:t>
      </w:r>
    </w:p>
    <w:p>
      <w:r>
        <w:t>L'appelant conteste l'infraction de viol retenue à son encontre s’agissant des faits survenus une nuit de novembre 2019 (cf. chiffre 4 de l’acte d’accusation, ch. 2.3 supra).</w:t>
      </w:r>
    </w:p>
    <w:p>
      <w:r>
        <w:rPr>
          <w:b/>
        </w:rPr>
        <w:t>E. 4.1</w:t>
      </w:r>
    </w:p>
    <w:p>
      <w:r>
        <w:t>A teneur de l'art. 190 al. 1 CP, celui qui, notamment en usant de menace ou de violence, en exerçant sur sa victime des pressions d'ordre psychique ou en la mettant hors d'état de résister, aura contraint</w:t>
      </w:r>
    </w:p>
    <w:p>
      <w:r>
        <w:t>- 27 - une personne de sexe féminin à subir l'acte sexuel, sera puni d’une peine privative de liberté de un à dix ans.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JdT 1997 IV 120, SJ 1996 501 ; TF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du 20 avril 2020 consid. 2.4.1).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l'arrêt cité, JdT 2009 IV 17).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(TF 6B_159/2020, déjà cité, consid. 2.4.1 ; TF 6B_502/2017 du 16 avril 2018 consid. 1.1).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w:t>
      </w:r>
    </w:p>
    <w:p>
      <w:r>
        <w:t>- 28 - un préjudice disproportionné, de sorte que l'auteur parvient à ses fins, en passant outre au refus, sans avoir nécessairement à employer la violence ou la menace (cf. ATF 122 IV 97 consid. 2b, JdT 1997 IV 120, SJ 1996 501 ; ATF 119 IV 309 consid. 7b, JdT 1995 IV 189). Pour analyser si l'effet requis sur la victime a une intensité comparable à celle de la violence ou de la menace, il faut se fonder sur les circonstances de fait et la situation personnelle de la victime (TF 6B_159/2020, déjà cité, consid. 2.4.1 ; TF 6B_1149/2014 du 16 juillet 2015 consid. 5.3.1).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w:t>
      </w:r>
    </w:p>
    <w:p>
      <w:r>
        <w:rPr>
          <w:b/>
        </w:rPr>
        <w:t>E. 4.2</w:t>
      </w:r>
    </w:p>
    <w:p>
      <w:r>
        <w:t>Le Tribunal correctionnel a retenu que G.________ avait livré une version très détaillée et contextualisée des faits, ce qui est exact. En effet, elle explique, notamment, la manière dont elle était vêtue pour lui faire comprendre qu'elle n'avait pas envie d'avoir une relation sexuelle, la façon dont elle a repoussé l’appelant et les gestes utilisés par ce dernier pour la contraindre, les termes par lesquels il lui a fait comprendre qu'elle devait le satisfaire même si elle n'en avait pas envie et ce qu'il s'était passé après l'acte sexuel, à savoir qu'elle s'était réfugiée dans la salle de bain puis dans la chambre de sa fille. Tout cela est contextualisé et ancré dans le temps. Elle rentrait d'un souper de boîte et il était 2 heures du matin. Elle a expliqué son ressenti à savoir qu'elle ne voulait pas l'embrasser car elle ne supportait pas le goût de l'alcool, mélangé à la cigarette ainsi que sa fierté d'avoir osé l'affronter en lui disant qu'elle n'avait pas envie et qu'il allait rester avec son envie à lui. C'est ensuite que la contrainte physique intervient : l’appelant se met à califourchon sur elle et lui tient les bras au niveau des biceps, elle n'arrive pas à se débattre (PV aud. 2 p. 9-10). G.________ n'a pas excessivement chargé l’appelant. Contrairement à ce qu'il soutient dans son appel, les faits</w:t>
      </w:r>
    </w:p>
    <w:p>
      <w:r>
        <w:t>- 29 - relatés par sa première épouse (PV aud. 9) et ceux décrits par les Dr H.________ (PV aud. 6) et N.________ (P. 19) viennent encore donner de la force probante au récit de la plaignante. L’ex-épouse de l’appelant décrit un homme avec un tempérament assez fort, précisant qu'il est difficile pour elle d'en parler, qu'il frappait parfois, qu'il était jaloux, possessif, et plus violent le soir ou la nuit, qu'il était très demandeur au niveau sexuel et qu'elle avait meilleur temps de se plier (PV aud. 9 I. 34ss). Elle précise même avoir souvent dormi dans la chambre de sa fille car elle y était tranquille, là-bas, il ne l'embêtait pas (PV aud. 9 I. 61). Elle indique avoir été contrainte sexuellement : « Il me tenait les mains et je pleurais ». Le Dr N.________ indique qu'il suit la plaignante depuis 2015 et qu'elle lui a indiqué avoir des problèmes de couple importants, expliquant être contrainte sexuellement jusqu'à 2-3 fois par jour (P. 19). La plaignante lui en a parlé une fois, le 27 août 2019. Contrairement à ce que soutient l'appelant, on ne saurait déduire du silence de la plaignante à une consultation postérieure qu'elle n'a plus été contrainte après le 27 août 2019. Il faut, comme le Tribunal correctionnel, relever au contraire une forme de gradation dans les atteintes sexuelles relatées. L'appelant est accro au sexe et ne s'arrête pas lorsque sa partenaire lui signifie son désaccord. Cela est également rapporté par son ex-épouse – qui n’a aucune raison de soutenir la plaignante – et dont le témoignage est mesuré, ce qui vient donner du crédit aux déclarations de la plaignante. On ne saurait y voir une violation du principe de l'intangibilité de l'acte d'accusation motif pris que cela concerne des faits antérieurs. En effet, les témoignages, quand bien même ils ne portent pas sur les faits litigieux en eux-mêmes, sont pertinents en ce qu'ils attestent que la plaignante rencontrait des problèmes au niveau de la sexualité dans son couple et qu'elle s'en était ouverte à des professionnels à l'été 2019, faisant déjà à ce moment mention du mot « viol ». Dans ces circonstances, les déclarations de la plaignante, étayées par les témoignages de son médecin traitant, de D.________ et de R.________, sont parfaitement crédibles et la Cour d'appel pénale tient pour établis les faits retenus au ch. 4 de l'acte d'accusation. Il convient dès lors</w:t>
      </w:r>
    </w:p>
    <w:p>
      <w:r>
        <w:t>- 30 - de rejeter l’appel sur ce point et de confirmer la condamnation de l’appelant pour viol.</w:t>
      </w:r>
    </w:p>
    <w:p>
      <w:r>
        <w:rPr>
          <w:b/>
        </w:rPr>
        <w:t>E. 5</w:t>
      </w:r>
    </w:p>
    <w:p>
      <w:r>
        <w:t>L'appelant conteste sa condamnation pour tentative de meurtre pour les faits décrits au chiffre 5 de l’acte d’accusation (cf. ch. 2.4 supra). Il affirme que les déclarations de la sœur de l'intimée, trois mois après les faits et alors que celle-ci avait assisté à l'interrogatoire de sa sœur, n'étaient pas probantes, car elle avait disposé du temps nécessaire pour préparer son audition sur la base du procès-verbal de la plaignante. Elle était en outre restée dans la voiture avec les enfants et n'avait pas pu voir la scène. L’appelant se prévaut également du diagnostic posé, à savoir un traumatisme crânio-cérébral simple, qui infirme la version de l'intimée. Il conteste avoir violemment et à deux reprises frappé la tête de son épouse contre le sol. Enfin, quoiqu'il ait fait, il n'avait pas eu la volonté de tuer.</w:t>
      </w:r>
    </w:p>
    <w:p>
      <w:r>
        <w:rPr>
          <w:b/>
        </w:rPr>
        <w:t>E. 5.1.1</w:t>
      </w:r>
    </w:p>
    <w:p>
      <w:r>
        <w:t>Aux termes de l'art. 111 CP,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2e éd., Bâle 2017, n. 18 ad art. 111 CP et les auteurs cités). Selon la jurisprudence, il y a tentative (art. 22 al. 1 CP) lorsque l'auteur a réalisé tous les éléments subjectifs de l'infraction et manifesté sa décision de la commettre, alors que les éléments objectifs font, en tout ou en partie, défaut (ATF 137 IV 113 consid. 1.4.2; ATF 131 IV 100 consid. 7.2.1). Il y a donc tentative de meurtre, lorsque l'auteur, agissant intentionnellement, commence l'exécution de cette infraction, manifestant ainsi sa décision de la commettre, sans que le résultat ne se produise.</w:t>
      </w:r>
    </w:p>
    <w:p>
      <w:r>
        <w:t>- 31 -</w:t>
      </w:r>
    </w:p>
    <w:p>
      <w:r>
        <w:rPr>
          <w:b/>
        </w:rPr>
        <w:t>E. 5.1.2</w:t>
      </w:r>
    </w:p>
    <w:p>
      <w:r>
        <w:t>Agit intentionnellement quiconque commet un crime ou un délit avec conscience et volonté (art. 12 al. 2, 1ère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w:t>
      </w:r>
    </w:p>
    <w:p>
      <w:r>
        <w:t>- 32 - IV 12 consid. 2.3.2; ATF 134 IV 26 consid. 3.2.2; ATF 133 IV 222 consid. 5.3;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ATF 133 IV 9 consid. 4.1; ATF 130 IV 58 consid. 8.4;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consid.2.3.2; ATF 125 IV 242 consid. 3c; ATF 121 IV 249 consid, 3a/aa). En conséquence, le juge doit exposer ces éléments extérieurs le plus exhaustivement possible, afin que l'on puisse discerner ce qui l'a conduit à retenir que l'auteur a envisagé le résultat dommageable et s'en est accommodé (ATF 125 IV 242 consid. 3c; ATF 121 IV 249 consid. 3a/aa).</w:t>
      </w:r>
    </w:p>
    <w:p>
      <w:r>
        <w:rPr>
          <w:b/>
        </w:rPr>
        <w:t>E. 5.2</w:t>
      </w:r>
    </w:p>
    <w:p>
      <w:r>
        <w:t>Fondé sur les déclarations des différents témoins entendus, sur les constats médicaux au dossier et sur les déclarations de l’appelant et de la plaignante, le Tribunal correctionnel a été intimement convaincu que les faits s'étaient déroulés comme mentionnés au chiffre 5 de l'acte d'accusation. (cf. jgmt, p. 36ss).</w:t>
      </w:r>
    </w:p>
    <w:p>
      <w:r>
        <w:t>- 33 - Cette appréciation ne prête pas le flanc à la critique et doit être confirmée. En effet, face aux versions contradictoires des protagonistes, force est de retenir que la version de la plaignante était extrêmement riche et détaillée (PV aud. 2 p. 2-6). Elle a notamment mentionné que le prévenu lui avait dit de venir chercher un sac, que son fils avait les yeux exorbités et était en état de choc (PV aud. 2 p. 3). Elle décrit les sensations lorsque le prévenu lui frappe la tête contre le sol en béton, se disant qu'au troisième coup elle allait mourir (PV aud. 2 p. 4). Ces éléments concordent sur énormément de points avec les déclarations de sa sœur S.________, qui certes, n'a été entendue que le 3 novembre 2020, soit plus de trois mois après les faits (PV aud. 7). Si sa version est détaillée, cela peut s'expliquer par le caractère extraordinaire de l’expédition au domicile de l'appelant, en urgence et la nuit, alors que la plaignante craint pour ses enfants qui l’ont appelée au secours. La situation est tendue dès le départ, la plaignante et sa sœur passant au poste de police avant de se rendre chez l’appelant. S'agissant du moment où ce dernier a dit à la plaignante de remonter à l'appartement pour venir chercher un sac avec des jus d'orange, c'est suffisamment insolite pour s'en souvenir sans que cela ne constitue un indice que la témoin aurait été préparée. Au demeurant, la témoin déclare exactement la même chose que ce qu'elle a déclaré à la Police le 17 juillet 2020 (P. 4), sous réserve du détail du sac de jus d'orange qui n'est pas mentionné, ce qui n’a aucune incidence. Enfin, contrairement à ce qui est plaidé en appel, la témoin ne dit pas qu'elle était dans la voiture mais bien qu'elle était en train de mettre les enfants dans la voiture et qu'ils étaient venus quand ils avaient entendu les cris de la plaignante (PV aud. 7 p. 2). Par ailleurs, l'appelant a déclaré avoir donné une claque à son épouse alors qu'il était en face d'elle. Or c'est bien, comme l'a retenu le Tribunal correctionnel, la version de la plaignante qui est compatible avec les lésions constatées. En effet, après avoir été prise en charge au Service des urgences de l'Hôpital d'Yverdon-les-Bains le 16 juillet 2020 puis admise dans le Service de chirurgie où elle a séjourné jusqu'au 17 juillet. 2020 (P. 13), la plaignante a été examinée par le Centre universitaire</w:t>
      </w:r>
    </w:p>
    <w:p>
      <w:r>
        <w:t>- 34 - romand de médecine légale (CURML) le 19 juillet 2020. Le constat révèle une ecchymose de 6 x 4cm dans la région frontale gauche, un hématome en monocle gauche, une dermabrasion sur l'hémolèvre inférieure gauche, une dermabrasion de 1.2 cm sur la joue gauche, ainsi que deux ecchymoses sur la jambe droit de 1,4 x 0.6 cm et de 1.4 sur 1 cm plusieurs ecchymoses sur la jambe gauche mesurant 1 cm de diamètre et une de 1,5 cm de diamètre. Le diagnostic de traumatisme crâno-cérébral simple a été retenu au moment de l'hospitalisation, lequel engendrait d'importantes céphalées (P. 13/2). Les lésions sont parfaitement compatibles avec la version de la plaignante et excluent qu’il se soit agi d’une simple gifle. Compte tenu de ce qui précède, l’appelant ne fait valoir aucun moyen qui permettrait de s’écarter de l’appréciation complète et convaincante des premiers juges lorsqu’ils ont conclu que les faits s’étaient déroulés comme décrits au chiffre 5 de l'acte d'accusation (cf. ch. 2.4 supra). La Cours de céans considère en outre que l'appelant a préparé son action tout au long de la journée ; il a utilisé les enfants pour attirer la plaignante chez lui. Il a agi par derrière, la plaignante lui tournant le dos, et a commencé par la gifler violemment la projetant ainsi au sol. Il s'est assis sur elle, lui a attrapé les cheveux et lui a frappé la tête à deux reprises sur le sol en béton, la plaignante expliquant aux débats d’appel, qu’en tirant sur ses cheveux, il lui soulevait le buste du sol pour se donner de l’élan. Ce geste est violent, intense et répété. La boîte crânienne protège le cerveau qui aurait pu subir d’importantes lésions. L'appelant a visé un organe vital après avoir exprimé une intention meurtrière. En effet, des coups portés au niveau de la tête en frappant celle-ci sur un sol éminemment dur sont de nature à infliger des lésions mortelles. L'appelant ne s'est arrêté que parce que des tiers, en nombre, sont intervenus : les enfants du couple sont sortis de la voiture et ont essayé de l'arrêter, la sœur de la plaignante s'est agrippée à lui, lui a mordu l'oreille et a appelé son mari à la rescousse, des voisins sont arrivés. On rappelle encore que l’appelant avait dit à la plaignante qu'elle « allait</w:t>
      </w:r>
    </w:p>
    <w:p>
      <w:r>
        <w:t>- 35 - mourir », après avoir avisé sa belle-mère par téléphone qu'il mettrait sa fille dans un cercueil et qu’il allait « terminer le travail » à sa sortie de prison (PV aud. 2, l. 192-193 ; PV aud. 7, l. 92-94 ; PV aud. 8, l. 59-62). La tâche inachevée était bien celle de tuer et la volonté homicide est présente, peu importe que les lésions constatées — un « simple » traumatisme crânio-cérébral — ne soient pas à la hauteur du résultat souhaité par l'auteur. L’ensemble de ces éléments conduisent à retenir que l’appelant avait l'intention d'intenter à la vie de son épouse. L’appel doit ainsi être rejeté et sa condamnation pour tentative de meurtre confirmée.</w:t>
      </w:r>
    </w:p>
    <w:p>
      <w:r>
        <w:rPr>
          <w:b/>
        </w:rPr>
        <w:t>E. 6</w:t>
      </w:r>
    </w:p>
    <w:p>
      <w:r>
        <w:t>L'appelant reproche encore aux premiers juges de ne pas avoir condamné G.________ pour les blessures qu’elle lui a occasionnées le 16 juillet 2020, dès lors que celles-ci ont été attestées.</w:t>
      </w:r>
    </w:p>
    <w:p>
      <w:r>
        <w:rPr>
          <w:b/>
        </w:rPr>
        <w:t>E. 6.1.1</w:t>
      </w:r>
    </w:p>
    <w:p>
      <w:r>
        <w:t>L’art. 126 al. 1 CP punit, sur plainte, celui qui se sera livré sur une personne à des voies de fait qui n’auront causé ni lésion corporelle ni atteinte à la santé. La poursuite aura lieu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(art. 126 al. 2 let. c CP). Conformément à l’art. 15 CP, quiconque, de manière contraire au droit, est attaqué ou menacé d'une attaque imminente a le droit de repousser l'attaque par des moyens proportionnés aux circonstances. La légitime défense peut s’exercer pour autrui, indépendamment d’un devoir de garant (ATF 129 IV 6 consid. 3.2, JdT 2005 IV 215; Dupuis/Moreillon/ Piguet/Berger/Mazou/Rodigari [éd.], Petit commentaire CP, 2e éd., Bâle 2017, n. 18 ad art. 15 CP et les références citées). Elle suppose une attaque, c'est-à-dire un comportement visant à</w:t>
      </w:r>
    </w:p>
    <w:p>
      <w:r>
        <w:t>- 36 -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TF 6B_1171/2017 du 12 avril 2018 consid. 3.1;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 TF 6B_508/2021 du 14 janvier 2022 consid. 1.4.1 ; TF 6B_508/2021 du 14 janvier 2022 consid. 1.4.1 ; TF 6B_903/2020 du</w:t>
      </w:r>
    </w:p>
    <w:p>
      <w:r>
        <w:rPr>
          <w:b/>
        </w:rPr>
        <w:t>E. 6.2</w:t>
      </w:r>
    </w:p>
    <w:p>
      <w:r>
        <w:t>En l’espèce, le Tribunal criminel a retenu que G.________ avait saisi l'appelant au cou, comme il a retenu qu'elle l'avait traité de « fils de pute ». Les premiers juges ont cependant admis qu’elle avait agi en situation de légitime défense, dans la mesure où l'appelant avait provoqué l'injure et qu’il avait tenté de la tuer. Là encore, cette appréciation ne prête pas le flanc à la critique et doit être confirmée, l’appelant ne soulevant aucun argument permettant de s’en écarter. Compte tenu de ce qui précède, les premiers juges ont à raison exempté G.________ de toute peine en application de l’art. 15 CP. L’appel, mal fondé, doit être rejeté sur ce point également. 7. L'appelant conteste avoir endommagé les lunettes de la plaignante le jour des faits. Il explique qu’elles n'avaient pas été retrouvées cassées sur place. Il affirme que, quoiqu'il en soit, il ne pouvait avoir agi que par négligence ce qui excluait qu'il soit condamné pour dommage à la propriété.</w:t>
      </w:r>
    </w:p>
    <w:p>
      <w:r>
        <w:t>- 38 - 7.1 Aux termes de l’art. 144 CP, celui qui aura endommagé, détruit ou mis hors d’usage une chose appartenant à autrui ou frappée d’un droit d’usage ou d’usufruit au bénéfice d’autrui sera, sur plainte, puni d’une peine privative de liberté de trois ans au plus ou d’une peine pécuniaire. L'article 144 CP institue une infraction intentionnelle. Le dol éventuel suffit. L'auteur doit avoir la conscience et la volonté, au moins sous la forme du dol éventuel, de s'en prendre à la chose d'autrui et d'en changer le cas. 7.2 En assénant une violente gifle à la plaignante, qui portait des lunettes, l'appelant a envisagé la possibilité d'endommager ses lunettes et s'en est accommodé. L'infraction de l'art. 144 CP a dès lors été retenue à raison, peu importe que l'on n'ait pas retrouvé les lunettes de la plaignante sur les lieux. L’appel, mal fondé, doit être rejeté. 8. Fondé sur la prémisse de son acquittement pour toutes les infractions retenues à son encontre à l’exception de l’injure, l’appelant conteste la peine prononcée à son encontre, soit une peine privative de liberté de 7 ans ainsi qu’une peine pécuniaire de 50 jours-amende à 30 fr. le jour. Il conclut au prononcé d’une peine pécuniaire de 20 jours-amende à 10 fr. le jour afin de tenir compte de sa situation financière. Même à supposer sa condamnation confirmée, l’appelant estime la peine disproportionnée. 8.1 8.1.1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- 39 -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8.1.2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w:t>
      </w:r>
    </w:p>
    <w:p>
      <w:r>
        <w:t>- 40 -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 8.1.3 Selon l’art. 42 al. 1 CP, le juge suspens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w:t>
      </w:r>
    </w:p>
    <w:p>
      <w:r>
        <w:t>- 41 - acte mérite la confiance que l’on doit pouvoir accorder au condamné bénéficiant d’un sursis (TF 6B_1082/2021 du 19 juillet 2021 consid. 3.1). 8.2 En l’espèce, la condamnation de l’appelant est confirmée pour toutes les infractions retenues par les premiers juges. Comme ces derniers, il faut considérer que la culpabilité de l’appelant est très lourde. A charge, on retiendra une activité délictueuse couvrant une période de plusieurs années, avec une aggravation dans les actes commis, le prévenu ayant commencé par s’en prendre à la liberté de son épouse, avant d’attenter à son intégrité sexuelle puis de tenter de la tuer. Lors des faits du 16 juillet 2020, l’appelant a fait preuve d’une volonté délictuelle très intense. Après avoir attiré son épouse devant chez lui en menaçant de s’en prendre à leurs enfants, il a tenté de la tuer alors qu’elle était au sol, à sa merci, face contre terre. Il ne s’est pas arrêté de lui-même. Il n’a pas hésité à commettre ces actes odieux devant les enfants du couple, qui ont assisté à la scène. Une fois menotté, il a déclaré à son épouse qu’il allait « terminer le travail ». En matière sexuelle, l’appelant ignore totalement la volonté et le consentement de ses partenaires. On relève encore la procédure pénale qu’il l’a opposé à son ex-épouse, R.________, lors de laquelle il avait admis avoir menacé cette dernière de mettre fin à ses jours après avoir tué leur fille. Force est de constater que le classement prononcé le 10 octobre 2005 n’a nullement empêché l’appelant de réitérer les mêmes comportements avec la plaignante, soit des menaces et une attitude violente afin d’obtenir des faveurs sexuelles. Dans le cadre de la présente procédure, l’appelant a franchi un pas supplémentaire en tentant de tuer son épouse. Son comportement en procédure constitue également un élément à charge. Il a en effet tenu un discours changeant, contestant notamment avoir menacé sa belle-mère au téléphone avant de l’admettre quelques secondes plus tard. Il n’a pas exprimé d’empathie vis-à-vis de la souffrance ressentie par son épouse ou par ses enfants, mettant celle-ci sur le compte de la séparation et se contentant de déclarer qu’« on a trop de complications avec les femmes ». Comme les premiers juge l’ont relevé, il n’y a pas d’élément à décharge.</w:t>
      </w:r>
    </w:p>
    <w:p>
      <w:r>
        <w:t>- 42 - Pour fixer la peine, les premiers juges ont tout d’abord constaté qu’à l’exception des injures, l’ensemble des infractions retenues à l’encontre de l’appelant justifiaient le prononcé d’une peine privative de liberté. Procédant à la fixation de la peine privative d’ensemble adéquate, ils ont retenu que l’infraction la plus grave, soit la tentative de meurtre, devait être punie de 5 ans de privation de liberté, à laquelle ils ont ajouté – par l’effet du concours – 18 mois pour sanctionner le viol et 6 mois pour sanctionner les menaces qualifiées et les dommages à la propriété. Ils ont en outre sanctionné les injures par une peine pécuniaire de 50 jours- amende à 30 fr. le jour, compte tenu de la situation financière du prévenu. Ils ont enfin retenu un pronostic défavorable au vu de la fréquence des injures, de sorte que la peine devait être ferme (cf. jgmt, pp. 41-43). Cette appréciation est conforme aux principes applicables à la fixation de la peine rappelés ci-dessus (consid. 8.1 supra). La Cour de céans relève l’absence de regret de l’appelant et le fait qu’il a reproduit les comportements qui lui avaient déjà été reprochés en 2010, ce qui confirme le pronostic défavorable. Tant la peine privative de liberté que la peine pécuniaire – qui sanctionne les injures – prononcées à l’encontre de l’appelant doivent être confirmées et l’appel rejeté sur ce point également. 9. L'appelant fait encore valoir que si l'appel est admis et que seule l'injure est retenue, il ne peut pas être expulsé. A titre subsidiaire, il plaide qu'il est arrivé en Suisse à 15 ans, qu'il y a passé les deux tiers de sa vie, que ses trois enfants vivent en Suisse et qu'il ne doit pas être expulsé. A tout le moins, il considère que la durée de l'expulsion est excessive. 9.1 9.1.1 Selon l'art. 66a al. 1 let. a CP, le juge expulse de Suisse l'étranger qui est condamné pour meurtre.</w:t>
      </w:r>
    </w:p>
    <w:p>
      <w:r>
        <w:t>- 43 -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9.1.2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w:t>
      </w:r>
    </w:p>
    <w:p>
      <w:r>
        <w:t>- 44 - dans son droit au respect de sa vie privée et familiale garanti par la Constitution fédérale (art. 13 Cst.) et par le droit international, en particulier l'art. 8 CEDH (Convention de sauvegarde des droits de l'homme et des libertés fondamentales du 4 novembre 1950 ; RS 0.1011) (TF 6B_141712019, déjà cité, consid. 2.1.1 ; TF 6B_50/2020 du 3 mars 2020 consid. 1.3.1). 9.1.3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9.2 En l’espèce, la condamnation de l’appelant étant intégralement confirmée, seule sa conclusion subsidiaire sera examinée. L'expulsion est obligatoire pour la tentative de meurtre. L'intégration économique de l’appelant est mitigée dans la mesure où il a accumulé des dettes et fait l’objet de poursuites à hauteur de 21'155 fr. 45 et d’actes de défaut de biens pour 16'293 fr. 20. Par ailleurs, ses liens avec sa première fille D.F.________ ont été inexistants pendant 14 ans pour n’être qu’épisodiques ensuite. Les liens entretenus avec ses enfants B.F.________ et C.F.________ ne sont pas plus étroits. Les contacts épistolaires entretenus en prison pourraient se poursuivre en cas d'expulsion et il est douteux que des contacts plus intenses se créent, que ce soit avec sa première fille ou avec les deux enfants qu’il a eu avec la plaignante, son droit de visite sur ces derniers ayant été suspendu depuis son incarcération. On relève encore que l’appelant parle le portugais et qu’il a sept frères et sœurs au Portugal.</w:t>
      </w:r>
    </w:p>
    <w:p>
      <w:r>
        <w:t>- 45 - En conséquence, c’est à raison que les premiers juges ont tenu compte de la gravité des infractions retenues contre l’appelant ainsi que du risque élevé de récidive relevé par les experts pour considérer qu’une mesure d’expulsion s’imposait, l’intérêt public à l’expulsion l’emportant sur l’intérêt privé de l’appelant à demeurer dans notre pays. La durée de l’expulsion prononcée en première instance, soit 10 ans, est par ailleurs proportionnée à l’importance de la peine infligée ainsi qu’aux liens ténus que l’appelant entretient avec la Suisse.</w:t>
      </w:r>
    </w:p>
    <w:p>
      <w:r>
        <w:rPr>
          <w:b/>
        </w:rPr>
        <w:t>E. 10</w:t>
      </w:r>
    </w:p>
    <w:p>
      <w:r>
        <w:t>L'appelant conteste les conclusions civiles allouées en tant qu'elles sont le corollaire des infractions du chef desquelles il a plaidé son acquittement. Dans la mesure où sa culpabilité est intégralement confirmée, ce moyen tombe à faux.</w:t>
      </w:r>
    </w:p>
    <w:p>
      <w:r>
        <w:rPr>
          <w:b/>
        </w:rPr>
        <w:t>E. 11</w:t>
      </w:r>
    </w:p>
    <w:p>
      <w:r>
        <w:t>La détention subie par l’appelant depuis le jugement de première instance doit être déduite (art. 51 CP). Le maintien en détention de A.F.________ à titre de sûreté est ordonné afin de garantir son expulsion.</w:t>
      </w:r>
    </w:p>
    <w:p>
      <w:r>
        <w:rPr>
          <w:b/>
        </w:rPr>
        <w:t>E. 12</w:t>
      </w:r>
    </w:p>
    <w:p>
      <w:r>
        <w:t>Dans son recours du 21 mars 2022, A.F.________ s’oppose à ce que des débours supplémentaires soient mis à sa charge. Il fait valoir un vice de procédure, en ce sens que le tribunal de première instance était lié par le montant des frais et débours mis à sa charge dans son jugement du 8 novembre 2021 – rectifié le 12 novembre suivant – et qu’il ne pouvait plus le modifier. Par ailleurs, il se prévaut d’une violation de son droit d’être entendu dans la mesure où il n’a pu se déterminer ni sur le principe ni sur le montant de la note d’honoraires complémentaire qui a été mise à sa charge, aucune pièce justificative n’ayant été transmise aux parties. En outre, à compter du moment où il avait déposé un appel contre le jugement rendu le 8 novembre 2021, le tribunal de première instance</w:t>
      </w:r>
    </w:p>
    <w:p>
      <w:r>
        <w:t>- 46 - n’avait plus les prérogatives de la direction de la procédure de sorte qu’il ne pouvait plus se prononcer sur les frais et débours.</w:t>
      </w:r>
    </w:p>
    <w:p>
      <w:r>
        <w:rPr>
          <w:b/>
        </w:rPr>
        <w:t>E. 12.1</w:t>
      </w:r>
    </w:p>
    <w:p>
      <w:r>
        <w:t>Le prononcé relatif aux frais est une décision de nature matérielle (TF 6B_310/2012 du 11 décembre 2012 consid. 5.3.1 non publié in ATF 139 IV 102). L'autorité compétente pour le rendre est liée par celui- ci après sa notification orale, respectivement écrite. Elle ne peut ainsi le modifier matériellement elle-même, lorsqu'il s'avère juridiquement incorrect. Une modification matérielle postérieure, sous la forme d'une réévaluation ou d'un complètement n'est pas possible. Même sous la forme d'une explication ou rectification des prononcés au sens de l'art. 83 CPP, une décision qui repose sur une erreur de nature factuelle ou juridique lors de la prise de décision, ne peut être corrigée (TF 6B_362/2016 du 24 août 2016 consid. 2.6 ; TF 6B_633/2015 du 12 janvier 2016 consid. 5.3 et les références citées ; TF 6B_13/2016 du 23 janvier 2017 consid. 2.2). Ce n'est en effet qu'en recevant des explications complètes que le justiciable est en mesure de se déterminer sur l'opportunité de recourir contre la décision litigieuse (Macaluso, in: Jeanneret et al., op. cit., n. 13 ad art. 83 CPP), même s'il s'agit de la rectification d'un calcul (SJ 1987 p. 154).</w:t>
      </w:r>
    </w:p>
    <w:p>
      <w:r>
        <w:rPr>
          <w:b/>
        </w:rPr>
        <w:t>E. 12.2</w:t>
      </w:r>
    </w:p>
    <w:p>
      <w:r>
        <w:t>En l’espèce, le tribunal criminel a rendu un premier dispositif le 8 novembre 2021, qu’il a rectifié le 12 novembre suivant, fixant le montant des frais et débours mis à la charge du condamné à 53'599 fr. 55. Par annonce d'appel du 16 novembre 2021 puis déclaration d'appel motivée du 13 décembre 2021, A.F.________ a contesté le jugement précité auprès de la Cour de céans qui est dès lors devenue direction de la procédure et, partant, seule compétente pour statuer sur le sort des frais et débours subséquents au jugement du 8 novembre 2021. Dans ces circonstances, lorsqu’il a rendu le prononcé rectificatif litigieux, le tribunal de première instance n’était plus compétent pour statuer à nouveau sur les frais et débours. En outre, c’est à raison que le recourant se plaint du fait qu’il n’a pas pu se déterminer sur les frais supplémentaires mis à sa charge en violation de son droit d’être entendu.</w:t>
      </w:r>
    </w:p>
    <w:p>
      <w:r>
        <w:t>- 47 - Compte tenu de ce qui précède, le recours doit être admis et le prononcé rectificatif annulé.</w:t>
      </w:r>
    </w:p>
    <w:p>
      <w:r>
        <w:rPr>
          <w:b/>
        </w:rPr>
        <w:t>E. 13</w:t>
      </w:r>
    </w:p>
    <w:p>
      <w:r>
        <w:t>En définitive, le recours est admis et le prononcé rectificatif rendu le 9 mars 2022 est annulé. L’appel est rejeté et le jugement rendu le 8 novembre 2021, rectifié le 12 novembre 2021, est confirmé dans le sens des considérants qui précèdent. Le défenseur d’office de A.F.________, Me Raphaël Tatti a produit une liste d’opérations qui fait état d’une activité de 22h30 (P. 122), ce qui peut être admis, sous réserve de l’ajout de 20 minutes supplémentaires pour tenir compte de la durée effective de l’audience d’appel. Ainsi, en définitive, une indemnité de défenseur d’office d'un montant de 4’515 fr., correspondant à une activité de 22h50 au tarif horaire de 180 fr. (cf. art. 2 al. 1 RAJ [règlement sur l’assistance judiciaire en matière civile du 7 décembre 2010 ; BLV 211.02.3], applicable par analogie en vertu de l’art. 26b TFIP [tarif des frais de procédure et indemnités en matière pénale du 28 septembre 2010 ; BLV 312.03.1]), par 4'110 fr., à des débours à hauteur de 82 fr. 20, à une vacation à 120 fr. et à la TVA au taux de 7,7 %, par 322 fr. 80, sera allouée à Me Raphaël Tatti. Le conseil d’office de G.________, Me Manuela Ryter Godel a produit une liste de ses opérations faisant état d’une activité de 9h15 (P. 121) ce qu’il convient d’admettre sous réserve de l’ajout de 2h50 pour tenir compte de la durée de l’audience. Au tarif horaire de 180 fr., il convient d’allouer au conseil d’office un montant de 2'175 fr. à titre d’honoraires (12h05 x 180 fr.). A cela s’ajoutent un forfait pour les débours de 2 % (cf. art. 26b TFIP qui renvoie à l'art. 3bis RAJ), par 43 fr. 50, ainsi que la TVA sur le tout, au taux de 7,7 %, par 180 fr. 05. Partant, une indemnité d’un montant total de 2’389 fr. 30 est allouée à G.________ pour les dépenses occasionnées par la procédure d'appel, à charge de A.F.________.</w:t>
      </w:r>
    </w:p>
    <w:p>
      <w:r>
        <w:t>- 48 - Vu l’issue de la cause, les frais de la procédure d’appel, par 13'954 fr. 30, constitués de l’émolument de jugement, par 4’550 fr. (art. 21 al. 1 et 2 TFIP [Tarif des frais de procédure et indemnités en matière pénale du 28 septembre 2010 ; BLV 312.03.1]), des frais du complément d’expertise psychiatrique du 16 avril 2022, par 2'500 fr., ainsi que des indemnités allouées à son défenseur d’office, par 4'515 fr., et au conseil d’office de la plaignante, par 2’389 fr. 30, seront mis à la charge de A.F.________, qui succombe (art. 428 al. 1 CPP). A.F.________ sera tenu de rembourser à l'Etat de Vaud le montant des indemnités allouées à son défenseur d'office et au conseil d’office de la plaignante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