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PE20.011702 vom 26. August 2020</w:t>
      </w:r>
    </w:p>
    <w:p>
      <w:r>
        <w:t>VD Tribunal cantonal, 2020-08-26, FR</w:t>
      </w:r>
    </w:p>
    <w:p>
      <w:r>
        <w:rPr>
          <w:b/>
        </w:rPr>
        <w:t xml:space="preserve">Quelle: </w:t>
      </w:r>
      <w:r>
        <w:t>https://mcp.opencaselaw.ch/entscheid/vd_gerichte_PE20.011702</w:t>
      </w:r>
    </w:p>
    <w:p>
      <w:r>
        <w:t>FR: VD_GERICHTE PE20.011702 du 26 août 2020</w:t>
      </w:r>
    </w:p>
    <w:p>
      <w:r>
        <w:t>IT: VD_GERICHTE PE20.011702 del 26 agosto 2020</w:t>
      </w:r>
    </w:p>
    <w:p>
      <w:pPr>
        <w:pStyle w:val="Heading2"/>
      </w:pPr>
      <w:r>
        <w:t>Erwägungen</w:t>
      </w:r>
    </w:p>
    <w:p>
      <w:r>
        <w:rPr>
          <w:b/>
        </w:rPr>
        <w:t>E. 1</w:t>
      </w:r>
    </w:p>
    <w:p>
      <w:r>
        <w:t>Aux termes de l’art. 393 al. 1 let. a CPP (Code de procédure pénale suisse du 5 octobre 2007; RS 312.0), le recours est recevable contre les décisions et les actes de procédure du Ministère public. Ainsi, la décision du Ministère public ordonnant un prélèvement ADN au sens de l’art. 255 CPP peut faire l’objet d’un recours au sens des art. 393 ss CPP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2.1</w:t>
      </w:r>
    </w:p>
    <w:p>
      <w:r>
        <w:t>Le délai de recours de dix jours – qui ne peut pas être prolongé (art. 89 al. 1 CPP) – commence à courir le jour qui suit la notification de l’ordonnance entreprise (art. 90 al. 1 et 384 let. b CPP; Calame, in : Jeanneret/Kuhn/Perrier Depeursinge [éd.], Code de procédure pénale suisse, Commentaire romand, 2e éd., Bâle 2019, n. 3 ad art. 384 CPP). Le recours écrit doit être remis au plus tard le dernier jour du délai à l’autorité pénale, à la Poste suisse, à une représentation consulaire ou diplomatique suisse ou, s’agissant de personnes détenues, à la direction de l’établissement carcéral (art. 91 al. 2 CPP).</w:t>
      </w:r>
    </w:p>
    <w:p>
      <w:r>
        <w:rPr>
          <w:b/>
        </w:rPr>
        <w:t>E. 2.2</w:t>
      </w:r>
    </w:p>
    <w:p>
      <w:r>
        <w:t>Les autorités pénales notifient leurs prononcés par lettre signature ou par tout autre mode de communication impliquant un accusé de réception, notamment par l'entremise de la police (art. 85 al. 2 CPP). Un prononcé est réputé notifié lorsque, expédié par lettre signature, il n'a pas été retiré dans les sept jours à compter de la tentative infructueuse de remise du pli, si la personne concernée devait s'attendre à une telle remise (art. 85 al. 4 let. a CPP).</w:t>
      </w:r>
    </w:p>
    <w:p>
      <w:r>
        <w:t>- 4 -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p. 399). Il est admis que la personne concernée doit s'attendre à la remise d'un prononcé lorsqu'elle est au courant qu'elle fait l'objet d'une instruction pénale au sens de l'art. 309 CPP (TF 6B_934/2018 du 9 novembre 2018 consid. 2.1; TF 6B_233/2017 du 12 décembre 2017 consid. 2.1; TF 6B_1032/2015 du 25 mai 2016 consid. 1.1 et les références citées). De jurisprudence constante,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ATF 141 II 429 consid. 3.1 p. 431 s.; ATF 139 IV 228 consid. 1.1 p. 230 et les références citées; TF 6B_936/2018 du 4 décembre 2018 consid. 1.1).</w:t>
      </w:r>
    </w:p>
    <w:p>
      <w:r>
        <w:rPr>
          <w:b/>
        </w:rPr>
        <w:t>E. 2.3.1</w:t>
      </w:r>
    </w:p>
    <w:p>
      <w:r>
        <w:t>En l’espèce, la recourante conteste expressément avoir reçu le pli expédié le 21 juillet 2020. Il découle du formulaire « de rappel des droits et obligations » signé par la prévenue que celle-ci avait été informée qu’elle faisait l’objet d’une procédure pénale au sens de l’art. 309 CPP. Partant, elle devait s'attendre à la remise d'un prononcé. Elle était dès lors tenue de relever son courrier, respectivement de prendre des dispositions pour que celui-ci lui parvienne néanmoins, notamment en désignant un représentant, en faisant suivre son courrier, en informant les autorités de</w:t>
      </w:r>
    </w:p>
    <w:p>
      <w:r>
        <w:t>- 5 - son absence ou en leur indiquant une autre adresse de notification. A défaut, elle est réputée avoir eu, à l'échéance du délai de garde, connaissance du contenu des plis recommandés que l’autorité lui a adressés. Les conditions pour appliquer la fiction de notification de l’art. 85 al. 4 let. a CPP à l’ordonnance du 21 juillet 2020 sont donc remplies (cf. not. ATF 146 IV 30 précité, ibid.).</w:t>
      </w:r>
    </w:p>
    <w:p>
      <w:r>
        <w:rPr>
          <w:b/>
        </w:rPr>
        <w:t>E. 2.3.2</w:t>
      </w:r>
    </w:p>
    <w:p>
      <w:r>
        <w:t>L’ordonnance du 21 juillet 2020 a été adressée à la recourante le jour même, sous pli recommandé. Non retiré dans le délai de garde légal de sept jours par sa destinataire ou par un tiers commis à cet effet, le pli a été retourné à l’expéditeur avec la mention « non réclamé ». Ainsi, l’ordonnance doit être réputée notifiée à la recourante à l’issue du délai de garde. Ce délai a commencé à courir le 23 juillet 2020, lendemain de la date à laquelle l’avis de retrait a été déposé (cf. P. 4), pour venir à échéance le mercredi 29 juillet suivant (art. 90 al. 1 CPP). Partant, le délai de recours de dix jours a commencé à courir le 30 juillet 2020 (art. 90 al. 1 CPP), pour venir à échéance le samedi 8 août 2020, terme reporté de plein droit au lundi 10 août suivant (art. 90 al. 2 CPP). Daté du 13 août 2020, mais déposé à la poste le lendemain seulement, le recours est dès lors tardif. Certes, la recourante n’a eu connaissance de l’ordonnance du 21 juillet 2020 qu’à l’issue du nouvel envoi de cet acte, effectué (en courrier A ou B) sous forme de copie le 5 août 2020. Cet envoi ne faisait toutefois pas courir un nouveau délai de recours, ainsi que le relève la lettre d’accompagnement de la copie de la décision (P. 5).</w:t>
      </w:r>
    </w:p>
    <w:p>
      <w:r>
        <w:rPr>
          <w:b/>
        </w:rPr>
        <w:t>E. 2.3.3</w:t>
      </w:r>
    </w:p>
    <w:p>
      <w:r>
        <w:t>Par ailleurs, le recours est dépourvu de toute motivation au sens de l’art. 385 al. 1 CPP.</w:t>
      </w:r>
    </w:p>
    <w:p>
      <w:r>
        <w:rPr>
          <w:b/>
        </w:rPr>
        <w:t>E. 3</w:t>
      </w:r>
    </w:p>
    <w:p>
      <w:r>
        <w:t>En définitive, le recours, manifestement irrecevable, doit être écarté sans échange d’écritures (art. 390 al. 2 CPP).</w:t>
      </w:r>
    </w:p>
    <w:p>
      <w:r>
        <w:t>- 6 - Les frais de la procédure de recours, constitués en l’espèce du seul émolument d'arrêt (art. 422 al. 1 CPP), par 660 fr. (art. 20 al. 1 TFIP [Tarif des frais de procédure et indemnités en matière pénale du 28 septembre 2010; BLV 312.03.1]), seront mis à la charge de la recourante, qui succombe (art. 428 al. 1 CPP).</w:t>
      </w:r>
    </w:p>
    <w:p>
      <w:r>
        <w:t>- 7 - Par ces motifs, la Chambre des recours pénale prononce : I. Le recours est irrecevable. II. Les frais d’arrêt, par 660 fr. (six cent soixante francs), sont mis à la charge de J.________. III. L’arrêt est exécutoire. Le président : Le greffier : Du Le présent arrêt, dont la rédaction a été approuvée à huis clos, est notifié, par l'envoi d'une copie complète, à : - Mme J.________,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