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PE20.010840 vom 24. April 2023</w:t>
      </w:r>
    </w:p>
    <w:p>
      <w:r>
        <w:t>VD Tribunal cantonal, 2023-04-24, FR</w:t>
      </w:r>
    </w:p>
    <w:p>
      <w:r>
        <w:rPr>
          <w:b/>
        </w:rPr>
        <w:t xml:space="preserve">Quelle: </w:t>
      </w:r>
      <w:r>
        <w:t>https://mcp.opencaselaw.ch/entscheid/vd_gerichte_PE20.010840</w:t>
      </w:r>
    </w:p>
    <w:p>
      <w:r>
        <w:t>FR: VD_GERICHTE PE20.010840 du 24 avril 2023</w:t>
      </w:r>
    </w:p>
    <w:p>
      <w:r>
        <w:t>IT: VD_GERICHTE PE20.010840 del 24 aprile 2023</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 RS 312.0]) est susceptible d’un recours au sens des art. 393 ss CPP (CREP 27 février 2023/147 consid. 1.1 ; CREP 5 octobre 2021/932 consid. 1.1 ; Stephenson/Thiriet, in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art. 80 LOJV [Loi vaudoise du 12 décembre 1979 d’organisation judiciaire; BLV 173.01]).</w:t>
      </w:r>
    </w:p>
    <w:p>
      <w:r>
        <w:rPr>
          <w:b/>
        </w:rPr>
        <w:t>E. 1.2</w:t>
      </w:r>
    </w:p>
    <w:p>
      <w:r>
        <w:t>Interjeté dans le délai légal, auprès de l’autorité compétente, par le prévenu qui a qualité pour recourir (cf. art. 382 al. 1 CPP) et satisfaisant aux conditions de forme posées par l’art. 385 al. 1 CPP, le recours est recevable.</w:t>
      </w:r>
    </w:p>
    <w:p>
      <w:r>
        <w:rPr>
          <w:b/>
        </w:rPr>
        <w:t>E. 2.1</w:t>
      </w:r>
    </w:p>
    <w:p>
      <w:r>
        <w:t>Invoquant une violation de l'art. 30 CPP, le recourant fait valoir que le simple fait qu'il y ait « identité d'auteurs » ne serait pas suffisant pour joindre les deux enquêtes le concernant, d'autant moins qu'il n'y aurait aucune connexité entre les deux affaires. Il se fonde sur un arrêt de la Cour de céans du 19 avril 2022/280, dans lequel elle avait annulé</w:t>
      </w:r>
    </w:p>
    <w:p>
      <w:r>
        <w:t>- 4 - l’ordonnance de jonction, en constatant, d’une part, que le procureur s’était contenté de dire que les causes étaient connexes, alors que la seule connexité était l’identité du prévenu, et que, d’autre part, les causes ne portaient pas sur les mêmes faits, que les victimes étaient différentes et que la jonction était susceptible de nuire au principe de célérité, de léser les droits des plaignants et de compliquer inutilement la procédure qui arrivait à son terme. Au vu de cette jurisprudence, la jonction litigieuse serait, selon le recourant, inadéquate, inopportune et contraire à ses intérêts, aucune raison objective ne justifiant de conduire les deux procédures conjointement. En outre, le recourant soutient qu’un classement devrait être rendu dans les deux causes, l'instruction n’ayant pas apporté la confirmation des infractions reprochées. Au contraire, d'une part, il ressortirait clairement du dossier que l’affaire PE20.010840 aurait un fondement purement civil et, d'autre part, la plainte pénale déposée par O.________SA dans l'affaire PE22.010501 aurait été retirée, seule celle déposée par [...] SA subsistant.</w:t>
      </w:r>
    </w:p>
    <w:p>
      <w:r>
        <w:rPr>
          <w:b/>
        </w:rPr>
        <w:t>E. 2.2</w:t>
      </w:r>
    </w:p>
    <w:p>
      <w:r>
        <w:t>Selon l'art. 29 al. 1 let. b CPP, les infractions sont poursuivies et jugées conjointement lorsqu'il y a plusieurs coauteurs ou participation. Le principe de l'unité de la procédure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p. 219 ; ATF 138 IV 29 consid. 3.2 ; TF 1B_516/2022 du 9 mars 2023 consid. 2.1 et les arrêts cités ; TF 1B_580/2021 du 10 mars 2022 consid. 2.1 et les arrêts cités).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(ATF 134 IV 328 consid.</w:t>
      </w:r>
    </w:p>
    <w:p>
      <w:r>
        <w:t>- 5 - 3.3 ; ATF 116 Ia 305 consid. 4b ; TF 6B_516/2022 précité et les arrêts cités ; TF 6B_655/2022 du 31 août 2022 consid. 1.1 et l'arrêt cité). Si des raisons objectives le justifient, le ministère public et les tribunaux peuvent ordonner la jonction ou la disjonction de procédures pénales (art. 30 CPP).</w:t>
      </w:r>
    </w:p>
    <w:p>
      <w:r>
        <w:rPr>
          <w:b/>
        </w:rPr>
        <w:t>E. 2.3</w:t>
      </w:r>
    </w:p>
    <w:p>
      <w:r>
        <w:t>En l'espèce, on relèvera d'abord qu'il n'appartient pas à la Cour de céans, à ce stade de l'instruction, d'examiner si un classement de la procédure pénale se justifierait plutôt qu'un acte d'accusation. Manifestement, si tel était le cas, le Ministère public aurait renoncé à rendre une ordonnance de jonction et aurait déjà rendu une ordonnance de classement. Pour le reste, on ne saurait, comme l’a fait le recourant, comparer son cas à celui qui a conduit à l'annulation de l'ordonnance de jonction dans l'arrêt CREP du 19 avril 2022/280. En effet, en l'espèce, il y a lieu de constater qu'outre l'identité des auteurs, les prévenus étant les mêmes dans les causes PE20.010840 et PE20.010840, les faits concernent dans les deux cas des activités en lien avec la société S.________SA, dont les prévenus sont les trois administrateurs ou dirigeants, et qui ont trait à des chantiers ; de plus, les infractions sont dans les deux cas un faux dans les titres. Il importe dès lors que M.C.________ et ses coprévenus soient poursuivis dans le cadre d'une seule enquête pour l’ensemble des faits qui leur sont reprochés, et le cas échéant jugés conformément au principe de l’unité de la procédure réglé à l'art. 29 CPP. Les inconvénients relevés par le recourant en lien avec le fait que les plaignantes auraient connaissance des éléments de l'autre enquête et avec l'atteinte portée au crédit commercial de S.________SA sont des inconvénients de procédure qui ne sauraient empêcher une jonction. Ils ne l’emportent donc pas sur le principe de l'unité de la procédure. En conclusion, l’ordonnance de jonction est bien fondée.</w:t>
      </w:r>
    </w:p>
    <w:p>
      <w:r>
        <w:t>- 6 -</w:t>
      </w:r>
    </w:p>
    <w:p>
      <w:r>
        <w:rPr>
          <w:b/>
        </w:rPr>
        <w:t>E. 3</w:t>
      </w:r>
    </w:p>
    <w:p>
      <w:r>
        <w:t>Il résulte de ce qui précède que le recours, manifestement mal fondé, doit être rejeté, sans échange d’écritures (art. 390 al. 2 CPP), et l’ordonnance entreprise confirmée. Les frais de la procédure de recours, constitués en l'espèce de l'émolument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16 mars 2023 est confirmée. III. Les frais d'arrêt, par 660 fr. (six cent soixante francs), sont mis à la charge de M.C.________. IV. L’arrêt est exécutoire. La présidente : La greffière : Du Le présent arrêt, dont la rédaction a été approuvée à huis clos, est notifié, par l'envoi d'une copie complète, à : - Me Pierre-Xavier Luciani, avocat (pour M.C.________), - Me Xavier Diserens, avocat (pour N.C.________), - Mes Rayssa Imperiano et Thierry P. Augsburger, avocats (pour J.________SA), - M. B.C.________, - [...] AG,</w:t>
      </w:r>
    </w:p>
    <w:p>
      <w:r>
        <w:t>- 7 -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