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PE20.010764 vom 23. November 2020</w:t>
      </w:r>
    </w:p>
    <w:p>
      <w:r>
        <w:t>VD Tribunal cantonal, 2020-11-23, FR</w:t>
      </w:r>
    </w:p>
    <w:p>
      <w:r>
        <w:rPr>
          <w:b/>
        </w:rPr>
        <w:t xml:space="preserve">Quelle: </w:t>
      </w:r>
      <w:r>
        <w:t>https://mcp.opencaselaw.ch/entscheid/vd_gerichte_PE20.010764</w:t>
      </w:r>
    </w:p>
    <w:p>
      <w:r>
        <w:t>FR: VD_GERICHTE PE20.010764 du 23 novembre 2020</w:t>
      </w:r>
    </w:p>
    <w:p>
      <w:r>
        <w:t>IT: VD_GERICHTE PE20.010764 del 23 novembre 2020</w:t>
      </w:r>
    </w:p>
    <w:p>
      <w:pPr>
        <w:pStyle w:val="Heading2"/>
      </w:pPr>
      <w:r>
        <w:t>Erwägungen</w:t>
      </w:r>
    </w:p>
    <w:p>
      <w:r>
        <w:rPr>
          <w:b/>
        </w:rPr>
        <w:t>E. 20</w:t>
      </w:r>
    </w:p>
    <w:p>
      <w:r>
        <w:t>décembre 2017 consid. 2.2). 2.2 Selon l’art. 8 al. 1 CPP, auquel renvoie l’art. 310 al. 1 let. c CPP, le Ministère public et les tribunaux renoncent à toute poursuite pénale lorsque le droit fédéral le prévoit, notamment lorsque les conditions visées aux art. 52, 53 et 54 CP sont remplies. L'art. 52 CP prévoit que l'autorité compétente renonce à poursuivre l'auteur, à le renvoyer devant le juge ou à lui infliger une peine si sa culpabilité et les conséquences de son acte sont peu importantes. Cette disposition s’applique également en matière de contravention. La condition pour une exemption de peine en raison de l’absence d’intérêt à punir réside dans le fait que l’acte incriminé, en rapport avec la faute et les conséquences, pèse significativement moins lourd que le cas typique de l’infraction en cause (ATF 138 IV 13 consid. 9, JdT 2012 IV 263 ; ATF 135 IV 130 consid. 5.3.3). L'importance de la culpabilité et celle du résultat dans le cas particulier doivent être évaluées par comparaison</w:t>
      </w:r>
    </w:p>
    <w:p>
      <w:r>
        <w:t>- 7 - avec celle de la culpabilité et celle du résultat dans les cas typiques de faits punissables revêtant la même qualification ; en effet, il ne s'agit pas d'annuler, par une disposition générale, toutes les peines mineures prévues par la loi pénale. 2.3 Aux termes de l'art. 303 ch. 1 al. 1 CP (Code pénal suisse du</w:t>
      </w:r>
    </w:p>
    <w:p>
      <w:r>
        <w:rPr>
          <w:b/>
        </w:rPr>
        <w:t>E. 21</w:t>
      </w:r>
    </w:p>
    <w:p>
      <w:r>
        <w:t>décembre 1937;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ATF 75 IV 78). La dénonciation doit faire porter l’accusation sur une personne qui est innocente; la personne visée n’est donc pas coupable de l’infraction dont on l’accuse, soit parce que cette dernière n’a jamais été commise, soit parce qu’elle l’a été par un tiers (Dupuis et al. [éd.], Petit commentaire, Code pénal, 2e éd., Bâle 2017, n. 18 ad art. 303 CP et les références citées). Est considéré comme innocent notamment celui qui a été libéré par jugement d’acquittement ou par le prononcé d’un non-lieu (ATF 136 IV 170 consid. 2.1; Dupuis et al., op. cit., n. 21 ad art. 303 CP et les références citées). Cela étant, celui qui dépose une dénonciation pénale contre une personne ne se rend pas coupable de dénonciation calomnieuse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visée par la dénonciation est innocente, comme c'est le cas pour la calomnie. Le dol éventuel est exclu (ATF 136 IV 170 consid. 2.1; TF 6B_32/2011 du 24 février 2011 consid. 1.1; Dupuis et al., op. cit., nn. 22-23 ad art. 303 CP).</w:t>
      </w:r>
    </w:p>
    <w:p>
      <w:r>
        <w:t>- 8 - 2.3 En l’espèce, on peine à comprendre l’argumentation de la procureure. Certes, le prévenu a fait l’objet d’une ordonnance pénale du 13 mai 2020 le condamnant pour lésions corporelles simples par négligence, tentative d’entrave aux mesures de constatation de l’incapacité de conduire, conduite en état d’ébriété qualifiée et violation des devoirs en cas d’accident. Il n’en reste pas moins que le prévenu a aussi déposé plainte pénale contre le recourant en sachant clairement que celui-ci était innocent. Invoquer le dépôt de plainte du policier est peu pertinent, puisque le prévenu l’a accusé le jour même de l’incident, soit le 17 août 2019, alors que le policier a déposé sa plainte le 8 septembre 2019, soit postérieurement. Au surplus, le prévenu n’a retiré sa plainte qu’en avril 2020, une fois les faits clairement élucidés, alors que, si l’on suit son raisonnement, il aurait dû le faire peu de temps après les faits, une fois ses esprits retrouvés. Ensuite, le fait qu’une personne dépose une plainte pénale pour dénonciation calomnieuse contre un policier en train de la verbaliser est loin d’être anodin et ne constitue pas une démarche qui ne devrait pas avoir de conséquences. Quoi qu’il en soit, une instruction doit avoir lieu sur les circonstances, sur les motifs et sur l’intention. C’est donc à tort que la procureure a rendu une ordonnance de non-entrée en matière. 3. Il résulte de ce qui précède que le recours doit être admis, l'ordonnance attaquée annulée et le dossier renvoyé au Ministère public de l'arrondissement de La Côte pour qu'il procède dans le sens des considérants. Les frais de la procédure de recours, constitués en l'espèce du seul émolument d'arrêt, par 990 fr. (art. 422 al. 1 CPP et 20 al. 1 TFIP [Tarif des frais de procédure et indemnités en matière pénale du 28 septembre 2010 ; BLV 312.03.1]), seront mis à la charge de Z.________, qui</w:t>
      </w:r>
    </w:p>
    <w:p>
      <w:r>
        <w:t>- 9 - a conclu au rejet du recours et qui, partant, succombe (art. 428 al. 1 CPP). A cet égard, on précisera que lorsque l’ordonnance de non-entrée en matière est communiquée au prévenu, celui-ci doit être interpellé sur le recours déposé contre cette ordonnance. Le choix lui appartient ensuite de se déterminer ou non ou de s’en remettre à justice. Le recourant, qui obtient gain de cause et qui a procédé avec l’assistance d’un mandataire professionnel, a droit à une indemnité pour les dépenses occasionnées par l’exercice raisonnable de ses droits pour la procédure de recours. Au vu du mémoire produit, cette indemnité sera fixée à 900 fr. (3 heures au tarif horaire de 300 fr.), auxquels il convient d’ajouter des débours forfaitaires à concurrence de 2% (art. 19 al. 2 TDC [Tarif des dépens en matière civile du 23 novembre 2010 ; BLV 270.11.6], applicable par renvoi de l’art. 26a al. 6 TFIP), par 18 fr., plus un montant correspondant à la TVA, par 70 fr. 70, soit 988 fr. 70 au total, montant arrondi à 989 francs. Elle sera mise à la charge de Z.________, pour le même motif que celui ayant justifié la mise des frais à sa charge. Par ces motifs, la Chambre des recours pénale prononce : I. Le recours est admis. II. L’ordonnance du 17 juillet 2020 est annulée. III. Le dossier de la cause est renvoyé au Ministère public de l’arrondissement de La Côte pour qu’il procède dans le sens des considérants. IV. Les frais d’arrêt, par 990 fr. (neuf cent nonante francs), sont mis à la charge de Z.________. V. Une indemnité de 989 fr. (neuf cent huitante-neuf francs) est allouée à L.________ pour la procédure de recours, à la charge de Z.________.</w:t>
      </w:r>
    </w:p>
    <w:p>
      <w:r>
        <w:t>- 10 - VI. L’arrêt est exécutoire. Le président : La greffière : Du Le présent arrêt, dont la rédaction a été approuvée à huis clos, est notifié, par l'envoi d'une copie complète, à : - Me Philippe Rossy, avocat (pour L.________), - Me Tony Donnet-Monay, avocat (pour Z.________),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