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PE20.010620 vom 31. März 2021</w:t>
      </w:r>
    </w:p>
    <w:p>
      <w:r>
        <w:t>VD Tribunal cantonal, 2021-03-31, FR</w:t>
      </w:r>
    </w:p>
    <w:p>
      <w:r>
        <w:rPr>
          <w:b/>
        </w:rPr>
        <w:t xml:space="preserve">Quelle: </w:t>
      </w:r>
      <w:r>
        <w:t>https://mcp.opencaselaw.ch/entscheid/vd_gerichte_PE20.010620</w:t>
      </w:r>
    </w:p>
    <w:p>
      <w:r>
        <w:t>FR: VD_GERICHTE PE20.010620 du 31 mars 2021</w:t>
      </w:r>
    </w:p>
    <w:p>
      <w:r>
        <w:t>IT: VD_GERICHTE PE20.010620 del 31 marzo 2021</w:t>
      </w:r>
    </w:p>
    <w:p>
      <w:pPr>
        <w:pStyle w:val="Heading2"/>
      </w:pPr>
      <w:r>
        <w:t>Erwägungen</w:t>
      </w:r>
    </w:p>
    <w:p>
      <w:r>
        <w:rPr>
          <w:b/>
        </w:rPr>
        <w:t>E. 45</w:t>
      </w:r>
    </w:p>
    <w:p>
      <w:r>
        <w:t>et 48 pour répondre aux questions posées. k) Par décisions des 27 février 2018 et 29 octobre 2019, le Collège des Juges d’application des peines a refusé à nouveau d’accorder à R.________ la libération conditionnelle de l’internement ordonné le 11 janvier 1996 par le Tribunal correctionnel du district de Lavaux. Dans sa dernière décision, il a notamment relevé que le mode de fonctionnement psychique de l'intéressé n'évoluait toujours pas et qu'aucun élément ne</w:t>
      </w:r>
    </w:p>
    <w:p>
      <w:r>
        <w:t>- 11 - permettait de relativiser le risque de récidive élevé présenté par ce dernier. B. a) Le 15 mai 2020, la direction des EPO a émis un préavis défavorable à la libération conditionnelle de R.________. Elle a constaté que, bien que son comportement pouvait être considéré comme adéquat, qu'il n'avait fait l'objet que d'une unique sanction disciplinaire le 10 octobre 2018, que les contrôles toxicologiques des 22 octobre 2018 et 20 mars 2019 s'étaient révélés négatifs aux substances prohibées, qu'il bénéficiait d'un suivi psychothérapeutique volontaire avec le Service de médecine et psychiatrie pénitentiaire (SMPP) et qu'il s'était engagé le 5 mai 2020, par écrit, à ne pas prendre contact avec ses victimes et leur famille, il était cependant à relever qu'il ressortait, entre autres, de l'avis daté du 7 mai 2019 de la CIC que la commission estimait une fois de plus que la situation de R.________ demeurait dominée par « une dangerosité pédophilique jamais amendée et alimentée », que l'intéressé avait refusé de collaborer avec l'UEC de 2016 à 2019, raison pour laquelle les risques de récidive d'infractions à caractère sexuel n'avaient pas pu être évalués, qu'il avait stoppé le versement des indemnités-victime et ne payait plus ses frais de justice, que l'emprise envers certains codétenus au sein du cellulaire était toujours présente et qu'il n'avait, à ce jour, bénéficié d'aucune ouverture de son régime de détention. La direction a également mis en avant que R.________ était décrit comme très critique envers le système, qu'il ne s'adressait au personnel de détention que par intérêt et qu'il était dépeint, encore aujourd'hui, comme une personne manipulatrice. Le 30 juin 2020, l'OEP a proposé au Collège des Juges d'application des peines de refuser à R.________ la libération conditionnelle de son internement. Il a considéré qu'en l'absence d'une quelconque évolution depuis l'examen précédent, il n'y avait pas lieu de saisir le Tribunal correctionnel en vue d'examiner si les conditions d'une mesure thérapeutique institutionnelle étaient réunies.</w:t>
      </w:r>
    </w:p>
    <w:p>
      <w:r>
        <w:t>- 12 - b) Le 2 septembre 2020, la Présidente du Collège des Juges d’application des peines a procédé à l’audition de R.________, en présence de son défenseur d’office. Au sujet de son suivi volontaire auprès du SMPP, l'intéressé a exposé : « C'est trop long une fois par mois, il faudrait au minimum deux fois par mois (…) ». A propos de sa libération conditionnelle, il a déclaré : « Je ne suis pas d'accord avec les propositions négatives. La direction dit toujours la même chose, parle toujours de ma dangerosité. Je sais ce qui se passe aux EPO, c'est systématiquement non en ce qui concerne la libération conditionnelle. (…) j'ai demandé une évaluation criminologique mais rien ne se fait. (…) concernant le changement de mesure, ça peut être une bonne chose, il faut essayer. Vous me dites qu'il faudrait une expertise psychiatrique, je suis d'accord mais pas avec un expert du canton de Vaud. En tout cas il faudrait un autre expert que celui de la dernière fois ». Interpellé sur les diagnostics psychiatriques posés à son endroit, il a expliqué : « Je conteste le trouble mixte de la personnalité (traits paranoïaques et antisociaux). Par contre, concernant celui de la pédophilie, je n'ai rien à dire, je l'admets ». S'agissant du risque de récidive, il a déclaré : « Je suis d'accord de parler de dangerosité et non de récidive. J'estime que je ne suis plus dangereux. J'ai travaillé avec beaucoup de monde. Je connais maintenant les barrières à ne pas franchir. A mon âge, je n'ai plus la même libido qu'à 50 ans. Les trucs d'enfants à la télévision, ça ne m'intéresse pas, je coupe. ». c) Le 21 octobre 2020, le SMPP a établi un rapport à la demande de la Présidente du Collège des Juges d'application des peines. Il en ressort qu'après son retour aux EPO en janvier 2018, R.________ avait fait une demande pour suivre une psychothérapie sur un mode volontaire et qu'un suivi mensuel avait été mis en place, assuré par [...], psychologue, accompagné ponctuellement par le Dr [...], psychiatre. L'intéressé avait souhaité une fréquence des entretiens plus soutenue mais les contraintes du service ne permettaient pas de répondre à sa demande. Ledit service a expliqué qu'une interruption dans le suivi avait eu lieu de novembre 2019 à juin 2020, pour des raisons de service tout d'abord, puis du fait de la crise sanitaire du COVID-19. Il a ajouté qu'en juin 2020, M. [...] était moins présent sur le site des EPO et qu'il avait été</w:t>
      </w:r>
    </w:p>
    <w:p>
      <w:r>
        <w:t>- 13 - proposé à R.________ de changer de thérapeute, mais que celui-ci avait refusé, mettant en avant le bon contact établi entre eux. Le suivi a donc repris au rythme mensuel avec M. [...]. Il ressort également de ce rapport que l'intéressé s'exprime sans détours dans ses entretiens, qu'il semble apprécier l'espace de parole qui lui est consacré tout en acceptant d'aborder les thèmes proposés par son thérapeute et que les objectifs du traitement sont de l'accompagner dans son parcours carcéral, dans l'exécution, et éventuellement l'évolution de sa mesure, et de l'encourager et le soutenir dans sa déviance sexuelle. Les thèmes abordés concernent son parcours de vie avec certains éléments de victimisation, la vie en détention, les actes commis, l'évolution de la fantasmatique déviante, la diminution des intérêts sexuels et la réorientation des objectifs de vie. d) Dans ses déterminations du 4 décembre 2020, le Ministère public s'est rallié aux arguments développés par l'OEP le 30 juin 2020 pour préaviser négativement à la libération conditionnelle de R.________. Dans ses déterminations du 4 décembre 2020, R.________ a soutenu que, s'agissant de la libération conditionnelle, il lui paraissait difficile de soutenir qu'elle devait en l'état être accordée et a conclu à ce que la cause soit renvoyée à l'autorité de condamnation afin qu'elle examine la question du changement de mesure. e) Par décision du 4 mars 2021, le Collège des Juges d’application des peines a refusé d’accorder à R.________ la libération conditionnelle de l’internement ordonné le 11 janvier 1996 par le Tribunal correctionnel du district de Lavaux (I), a dit qu’il n’y avait pas lieu de saisir le juge compétent au sens de l’art. 65 al. 1 CP, les conditions d’une mesure thérapeutique institutionnelle ne paraissant pas réunies (II), et a laissé les frais de la décision, y compris l’indemnité allouée au défenseur d’office de R.________, par 2'684 fr. 15, TVA et débours inclus, à la charge de l’Etat (III).</w:t>
      </w:r>
    </w:p>
    <w:p>
      <w:r>
        <w:t>- 14 - Les premiers juges ont notamment constaté que tous les intervenants avaient émis, cette année encore, un préavis négatif concernant une éventuelle libération conditionnelle de l'intéressé, que lui- même ne la sollicitait pas, qu'aucune évolution n'avait été observée dans son mode de fonctionnement psychique et que dès lors, toutes les appréciations faites au cours des précédents examens demeuraient valables. Ils ont pris acte de son suivi thérapeutique volontaire auprès du SMPP, tout en notant que l'accessibilité de R.________ à un véritable changement passant par une thérapie paraissait toujours fort limitée. Ils ont ajouté que l'intéressé n'avait durant sa très longue incarcération jamais démontré, par des actes, qu'il était capable d'interagir avec autrui sous une forme respectueuse, que sa capacité introspective restait ainsi extrêmement faible et que rien ne laissait à penser qu'il pourrait un jour en être autrement. Ils ont finalement considéré que d'après l'expertise de 2017, un risque de récidive d'actes de même nature pouvait être qualifié d'élevé, que par conséquent le pronostic était toujours défavorable et que les considérations d'ordre sécuritaire primaient sur son intérêt à pouvoir bénéficier d'une libération conditionnelle. S'agissant d'un changement de mesure, les premiers juges ont notamment considéré qu'il n'était manifestement pas d'actualité, que la levée de l'internement au profit d'une mesure thérapeutique institutionnelle supposait que le risque de récidive présenté par le condamné puisse, à terme – dans les cinq ans –, être notablement et durablement réduit par le traitement psychiatrique mis en place et que tel n'était manifestement pas le cas. C. Par acte du 15 mars 2021, R.________ a recouru auprès de la Cour de céans contre cette décision, en concluant, avec suite de dépens, principalement au renvoi de la cause devant le Tribunal correctionnel de l'arrondissement de l'Est vaudois afin qu'il examine, au sens de l'art. 65 al. 1 CP, si les conditions d'une mesure thérapeutique institutionnelle sont réunies et subsidiairement au renvoi de la cause devant le Collège des Juges d'application des peines pour instruction et mise en œuvre d'une</w:t>
      </w:r>
    </w:p>
    <w:p>
      <w:r>
        <w:t>- 15 - expertise psychiatrique pour établir si une mesure thérapeutique institutionnelle paraît adaptée à sa situation. Par courrier du 25 mars 2021, la Présidente du Collège des Juges d’application des peines a déclaré renoncer à se déterminer sur le recours déposé par R.________ et s'est référée intégralement aux considérants de la décision contestée. Dans ses déterminations du même jour, le Ministre public a conclu au rejet du recours. Il a exposé que les conditions prévalant à un éventuel changement de mesure ne paraissaient en effet pas réalisées, à la rigueur de la jurisprudence, et que si l'on pouvait relever – même saluer – que R.________ se soumettait volontairement à un suivi thérapeutique, celui-ci paraissait plus assimilable à la « simple administration statique et conservatoire » des soins qu'à viser « un impact thérapeutique dynamique », avec une réduction nette du risque de récidive dans les cinq ans. R.________ s'est spontanément déterminé le 29 mars 2021. Il soutient en particulier qu'à ce stade, et en l'état du dossier, il est difficile d'admettre que son évolution n'est pas suffisante pour envisager un changement de mesure, que la seule personne habilitée à indiquer si une telle évolution est présente et doit être favorisée est l'expert psychiatre, que le dernier expert à s'être exprimé l'a fait il y a bientôt quatre ans et que sa situation a sans nul doute évolué depuis. En d roit :</w:t>
      </w:r>
    </w:p>
    <w:p>
      <w:r>
        <w:t>- 16 - 1. En vertu de l’art. 38 al. 1 LEP (loi sur l’exécution des condamnations pénales du 4 juillet 2006 ; RSV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RSV 312.01]; art. 80 LOJV [Loi d’organisation judiciaire du 12 décembre 1979 ; RSV 173.01]). En l’espèce, le recours, qui a été interjeté en temps utile devant l’autorité compétente et qui satisfait aux conditions de formes posées par l’art. 385 al. 1 CPP, est recevable. 2 2.1 Le recourant ne conteste pas le refus de la libération conditionnelle, mais retient que l'examen de l'entier du dossier a été apprécié avec des « a priori », sans tenir compte de sa volonté objective de se soigner. En substance, il soutient que sa motivation pour se soigner est bien réelle et qu'un changement de mesure au sens de l'art. 65 al. 1 CP devrait être envisagé, impliquant la saisine de l'autorité compétente, et qu'à tout le moins, une nouvelle expertise psychiatrique devrait à nouveau être mise en place pour déterminer si une telle mesure thérapeutique institutionnelle est envisageable. 2.2 2.2.1 Selon l’art. 64b al. 1 let. a CP, l’autorité compétente doit examiner d’office ou sur demande, au moins une fois par an, si l’auteur peut être libéré conditionnellement de l’internement et, si tel est le cas, quand il peut l’être (art. 64a al. 1 CP). Selon l’art. 64b al. 1 let. b CP, elle examine, d’office ou sur demande, au moins une fois tous les deux ans et</w:t>
      </w:r>
    </w:p>
    <w:p>
      <w:r>
        <w:t>- 17 - pour la première fois avant le début de l’internement, si les conditions d’un traitement thérapeutique institutionnel sont réunies et si une demande en ce sens doit être faite auprès du juge compétent (cf. art. 65 al. 1 CP ; en effet, seul le juge qui a prononcé la peine ou ordonné l'internement est compétent pour prononcer le changement ultérieur de la sanction, car celui-ci constitue une ingérence dans le jugement exécutoire). En présence d'un trouble psychiatrique, l'internement constitue, conformément au principe de la proportionnalité consacré par l'art. 56 al. 2 CP, une mesure subsidiaire aux mesures institutionnelles prévues par l'art. 59 CP. En tant qu'ultima ratio, en raison de la gravité de l'atteinte à la liberté personnelle qu'il représente, l'internement n'entre ainsi pas en considération si une mesure institutionnelle apparaît utile (ATF 139 IV 57 consid. 1.3.3). Ce n'est que lorsque cette dernière semble dénuée de chances de succès que l'internement peut être maintenu, s'il est nécessaire. Cette démarche doit permettre d'éviter qu'un auteur soit déclaré a priori « incurable » et interné dans un établissement d'exécution des peines (ATF 140 IV 1 consid. 3.2.4 ; ATF 134 IV 315 consid. 3.2). 2.2.2 Le prononcé d'une mesure thérapeutique institutionnelle selon l'art. 59 CP suppose l’existence d’un grave trouble mental, le fait que l'auteur ait commis un crime ou un délit en relation avec ce trouble (let. a) et qu'il soit à prévoir que cette mesure le détournera de nouvelles infractions en relation avec celui-ci (let. b). La mesure thérapeutique au sens de l'art. 59 CP vise avant tout « un impact thérapeutique dynamique », et donc une amélioration du pronostic légal, et non la « simple administration statique et conservatoire » des soins (ATF 137 IV 201 consid. 1.3 ; ATF 134 IV 315 précité consid. 3.6 ; TF 6B_205/2012 du 27 juillet 2012 consid. 3.2.1). Il doit être suffisamment vraisemblable que le traitement entraînera, dans les cinq ans de sa durée normale, une réduction nette du risque que l'intéressé commette de nouvelles infractions (ATF 140 IV 1 précité ; ATF 134 IV 315 précité consid. 3.4.1 ; TF 6B_486/2019 du 12 juin 2019 consid. 2.2.1). La seule possibilité vague d'une diminution du risque ou l’espoir d'une diminution seulement</w:t>
      </w:r>
    </w:p>
    <w:p>
      <w:r>
        <w:t>- 18 - minimale de ce risque ne sont en revanche pas suffisants (ATF 141 IV 1 consid. 3.2.4 ; ATF 134 IV 315 précité). Pour que la mesure puisse atteindre son but, il faut que l'auteur contribue un minimum au traitement. Il ne faut toutefois pas poser des exigences trop élevées à la disposition minimale de l'intéressé à coopérer à la mesure (ATF 123 IV 113 consid. 4c/dd ; TF 6B_486/2019 précité). Il suffit que l'intéressé puisse être motivé (« motivierbar » ; TF 6B_486/2019 précité ; TF 6B_205/2012 du 27 juillet 2012 consid. 3.2.1 ; TF 6B_784/2010 du 2 décembre 2010 consid. 2.2.3). Une mesure thérapeutique institutionnelle peut contribuer à garantir la sécurité publique de la même façon que l'internement, dans la mesure où elle peut être exécutée dans un établissement fermé ou dans un établissement pénitentiaire (art. 59 al. 3 CP ; ATF 134 IV 315 précité consid. 3.2). Ainsi, même si l'auteur est dangereux au sens de l'art. 64 al. 1 let. b CP, le juge doit ordonner une mesure thérapeutique institutionnelle au sens de l'art. 59 CP si cette mesure promet un certain succès. Ce n'est que lorsqu'il apparaît qu'un traitement selon l'art. 59 CP n'apportera pas le succès escompté que l'internement devra être ordonné (ATF 134 IV 315 précité consid. 3.5). Dans le cadre de l'examen de la libération conditionnelle d’une mesure thérapeutique institutionnelle, le Tribunal fédéral a eu l'occasion d'indiquer que pour qu’une telle mesure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(ATF 137 IV 201 précité). 2.2.3 Pour déterminer si les conditions d'un traitement thérapeutique institutionnel sont réunies, l’autorité compétente s’entoure</w:t>
      </w:r>
    </w:p>
    <w:p>
      <w:r>
        <w:t>- 19 - d’informations provenant de diverses sources : un rapport de la direction de l’établissement, une expertise indépendante au sens de l’art. 56 al. 4 CP, l’audition d’une commission composée de représentants des autorités de poursuite pénale, des autorités d’exécution et des milieux de la psychiatrie au sens de l’art. 62d al. 2 CP, ainsi que l’audition de l’auteur (art. 64b al. 2 CP). L’expertise doit se déterminer sur la nécessité et les chances de succès d’un traitement, sur la vraisemblance que l’auteur commette d’autres infractions et sur la nature de celles-ci (art. 56 al. 3 CP).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(Constitution fédérale de la Confédération suisse du 18 avril 1999 ; RS 101) (ATF 142 IV 49 précité). Selon la jurisprudence rendue sous l’empire de l’ancien droit, le critère formel de la date de l’expertise n’est pas en soi déterminant. Le juge peut se fonder sur une expertise relativement ancienne à condition que la situation n’ait pas changé entre-temps. Si, en revanche, par l’écoulement du temps et à la suite d’un changement de circonstances, l’expertise existante ne reflète plus l’état actuel, une nouvelle évaluation est indispensable (ATF 128 IV 241 consid. 3.4). Contrairement au droit actuel (art. 64b al. 2 CP), l’ancien droit n’exigeait pas que la révision annuelle de l’internement se fonde sur une expertise. Selon la jurisprudence rendue en matière d’examen annuel de la libération conditionnelle de l’internement (art. 64b al. 1 let. a CP), l’art. 64b CP ne peut être interprété dans le sens d’une obligation de procéder à une</w:t>
      </w:r>
    </w:p>
    <w:p>
      <w:r>
        <w:t>- 20 -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 un complément d'expertise peut s'avérer suffisant (TF 6B_815/2015 du 11 avril 2016 consid. 1.2 ; TF 6B_323/2014 du 10 juillet 2014 consid. 3 et les références citées ; TF 6B_413/2012 consid. 2.1 et les références citées, SJ 2013 I 401). Il n’y a pas lieu de s’écarter de cette jurisprudence, qui est également applicable à la révision biennale visant à établir si les conditions d’une mesure thérapeutique institutionnelle sont remplies (CREP 11 septembre 2019/744 consid. 2.2.3 ; CREP 19 juin 2018/474 consid. 2.3). 2.3 En l'espèce, au-delà des risques élevés, qui empêchent une libération conditionnelle, ce que le recourant ne conteste pas, il apparaît que les derniers rapports d'expertise psychiatrique présents au dossier datent des 3 août et 15 septembre 2017. Or, il ressort du dossier que des démarches thérapeutiques ont eu lieu depuis, le recourant ayant cherché à maintenir un suivi et une alliance thérapeutiques depuis 2018, y compris pendant la pandémie. Quoi qu'il en soit, les éléments allégués et retenus sont ainsi des éléments nouveaux. Si la jurisprudence du Tribunal fédéral retient qu'une nouvelle expertise ne se justifie pas à chaque révision, le critère déterminant est l'actualité du contenu de la dernière expertise (cf. TF 6B_413/2012 du 28 septembre 2012 consid. 2.1, SJ 2013 I p. 401 ; ATF 144 IV 321, JdT 2019 IV 167). En l'occurrence, la dernière expertise date de 2017, soit il y a plus de trois ans, et le recourant a bénéficié de nouveaux traitements depuis. Partant, l'autorité inférieure doit compléter son instruction sur ce point. Il ne s'agira pas nécessairement de faire une expertise complète, une réactualisation intégrant ce qui a changé depuis 2017 pourrait le cas</w:t>
      </w:r>
    </w:p>
    <w:p>
      <w:r>
        <w:t>- 21 - échéant suffire pour examiner si la saisine du Tribunal correctionnel selon l'art. 65 al. 1 CP se justifie. 3. Il résulte de ce qui précède que le recours doit être admis, la décision entreprise annulée et la cause renvoyée à l'autorité intimée pour qu'elle procède dans le sens des considérants qui précèdent. Les frais de la procédure de recours, constitués en l’espèce de l’émolument d'arrêt, par 2'090 fr. (art. 20 al. 1 TFIP [Tarif des frais de procédure et indemnités en matière pénale du 28 septembre 2010 ; BLV 312.03.1]), et des frais imputables à la défense d’office (art. 422 al. 1 et 2 let. a CPP), fixés à 900 fr. (4 heures d'activité pour l'acte de recours, plus 1 heure d'activité pour les déterminations spontanées, au tarif horaire de 180 fr.), auxquels il convient d’ajouter des débours forfaitaires à concurrence de 2 %, par 18 fr., plus la TVA, par 70 fr. 70, soit à 989 fr. au total (en chiffres arrondis), seront laissés à la charge de l'Etat. Par ces motifs, la Chambre des recours pénale prononce : I. Le recours est admis. II. La décision du 4 mars 2021 est annulée. III. Le dossier de la cause est renvoyé au Collège des Juges d'application des peines pour qu'il procède dans le sens des considérants. IV. L’indemnité allouée au défenseur d’office de R.________ est fixée à 989 fr. (neuf cent huitante-neuf francs), débours et TVA compris. V. Les frais d'arrêt, par 2'090 fr. (deux mille nonante francs), ainsi que l'indemnité due au défenseur d'office de R.________, par 989 fr. (neuf cent huitante-neuf francs), sont laissés à la charge de l'Etat. VI. L’arrêt est exécutoire.</w:t>
      </w:r>
    </w:p>
    <w:p>
      <w:r>
        <w:t>- 22 - Le président : La greffière : Du Le présent arrêt, dont la rédaction a été approuvée à huis clos, est notifié, par l'envoi d'une copie complète, à : - Me Baptiste Viredaz, avocat (pour R.________), - Ministère public central, et communiqué à : - Mme la Présidente du Collège des Juges d’application des peines, - Mme la Procureure du Ministère public central, - Office d’exécution des peines (réf. OEP/MES/843/CGY/CBE),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w:t>
      </w:r>
    </w:p>
    <w:p>
      <w:r>
        <w:t>- 23 -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