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PE20.010607 vom 28. April 2021</w:t>
      </w:r>
    </w:p>
    <w:p>
      <w:r>
        <w:t>VD Tribunal cantonal, 2021-04-28, FR</w:t>
      </w:r>
    </w:p>
    <w:p>
      <w:r>
        <w:rPr>
          <w:b/>
        </w:rPr>
        <w:t xml:space="preserve">Quelle: </w:t>
      </w:r>
      <w:r>
        <w:t>https://mcp.opencaselaw.ch/entscheid/vd_gerichte_PE20.010607</w:t>
      </w:r>
    </w:p>
    <w:p>
      <w:r>
        <w:t>FR: VD_GERICHTE PE20.010607 du 28 avril 2021</w:t>
      </w:r>
    </w:p>
    <w:p>
      <w:r>
        <w:t>IT: VD_GERICHTE PE20.010607 del 28 aprile 2021</w:t>
      </w:r>
    </w:p>
    <w:p>
      <w:pPr>
        <w:pStyle w:val="Heading2"/>
      </w:pPr>
      <w:r>
        <w:t>Erwägungen</w:t>
      </w:r>
    </w:p>
    <w:p>
      <w:r>
        <w:rPr>
          <w:b/>
        </w:rPr>
        <w:t>E. 4</w:t>
      </w:r>
    </w:p>
    <w:p>
      <w:r>
        <w:t>L'appelant conteste sa condamnation pour tentative de meurtre. Il n'aurait fait preuve d'aucune intention homicide, même éventuelle. Selon lui, sa manière d’agir et la blessure infligée lors du premier coup de couteau donné dans le dos démonteraient qu’il n’avait pas la volonté de tuer. Il soutient en substance qu’à défaut, il aurait eu le choix d’infliger une blessure bien plus importante, alors que le rapport médical ne fait état que d’une blessure superficielle. Quant au second coup de couteau, il aurait été donné involontairement, dans la confusion résultant de la présence des diverses personnes étant intervenues pour séparer les deux opposants. Ainsi, l’appelant soutient qu’il devrait être</w:t>
      </w:r>
    </w:p>
    <w:p>
      <w:r>
        <w:t>- 19 - condamné pour lésion corporelle simple pour le premier coup de couteau, et pour lésions corporelle par négligence pour le second.</w:t>
      </w:r>
    </w:p>
    <w:p>
      <w:r>
        <w:rPr>
          <w:b/>
        </w:rPr>
        <w:t>E. 4.1</w:t>
      </w:r>
    </w:p>
    <w:p>
      <w:r>
        <w:t>Aux termes de l'art. 111 CP, celui qui aura intentionnellement tué une personne sera puni d'une peine privative de liberté de cinq ans au moins, en tant que les conditions prévues aux articles suivant ne seront pas réalisées. Il faut que l'auteur ait eu l'intention de causer par son comportement la mort d'autrui. Le dol éventuel est toutefois suffisant. Le dol éventuel est réalisé dès que l'auteur envisage le résultat dommageable, mais agit néanmoins ou ne fait pas ce qui est en son pouvoir pour l'éviter ou en atténuer les conséquences, s'accommodant de ce résultat pour le cas où il se produirait, même s'il ne le souhaite pas (ATF 131 IV 1). Le dol éventuel doit être distingué de la négligence consciente, en ce sens que s'il connaît également le danger et est conscient que le résultat peut se produire, l'auteur agissant par négligence conscience escompte que le résultat envisagé comme possible ne se produira pas, que le risque du résultat dommageable ne se réalisera pas. L'auteur agissant par dol éventuel accepte par contre le résultat envisagé comme possible, s'en accommode. Celui qui accepte le résultat pour le cas où il se produirait « veut » ce résultat au sens de l'art. 12 al. 2 CP. Il n'est pas nécessaire que l'auteur approuve ce résultat (ATF 125 IV 242, JdT 2002 IV 38). En d'autres termes, peut agir par dol éventuel celui qui dans le fond de son esprit sait le résultat dommageable qu'il peut provoquer, ne le souhaite pas, mais agit quand même (cf. également TF 6B_216/2012 du 16 mai 2012).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w:t>
      </w:r>
    </w:p>
    <w:p>
      <w:r>
        <w:t>- 20 - violation du devoir de diligence. Plus celles-ci sont grandes, plus sera fondée la conclusion que l'auteur, malgré d'éventuelles dénégations, avait accepté l'éventualité de la réalisation du résultat dommageable (ATF 135 IV 12 consid, 2.3.2, JdT 2010 IV 139 ; ATF 134 IV 26 consid. 3.2.2, JdT 2009 IV 43 ; ATF 133 IV 222 consid. 5.3 ; TF 6B_775/2011 du 4 juin 2012 consid. 2.4.1). Il peut également être tenu compte des mobiles et de la manière de procéder de l'auteur (ATF 135 IV 12 consid. 2.3.3 ; ATF 133 IV 9 consid. 4.1, JdT 2007 I 553 ; ATF 130 IV 58 consid. 8.4 ; ATF 125 IV 242 consid. 3c). Il ne faut pas se fonder sur les blessures effectivement subies par la victime, mais sur la dangerosité du comportement du prévenu pour évaluer la probabilité de la réalisation du risque de mort (TF 6B_1087/2013 du 22 octobre 2014 consid. 2.3). Le Tribunal fédéral a retenu l'intention homicide en cas de coup de couteau sur le haut du corps de la victime (TF 6B_924/2017 du 14 mars 2018 consid. 1.4.5), ou dans la région thoracique, qualifiant l'issue fatale d'élevée et de notoire (6B_230/2012 du 18 septembre 2012 consid. 2.3), ou encore dans le cou (TF 6B 548/2011 du 14 mai 2012 consid. 1.3 ; TF 6B 234/2016 du 5 août 2016 consid. 3.3). II y a tentative (art. 22 al. 1 CP) lorsque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(TF 6B_157/2017 du 25 octobre 2017 consid. 3.1). La jurisprudence a affirmé à plusieurs reprises que l'équivalence des deux formes de dol – direct et éventuel – s'appliquait également à la tentative (ATF 122 IV 246 consid. 3a ; ATF 120 IV 17 consid. 2c ; TF 6B_924/2017 du 14 mars 2018 consid. 1.1.3).</w:t>
      </w:r>
    </w:p>
    <w:p>
      <w:r>
        <w:rPr>
          <w:b/>
        </w:rPr>
        <w:t>E. 4.2</w:t>
      </w:r>
    </w:p>
    <w:p>
      <w:r>
        <w:t>En l’espèce, s’il n'est pas contesté que la bagarre initiale avait pris fin, il faut constater que l'appelant est revenu à la charge pour frapper son antagoniste à coups de couteau, d'abord dans le dos puis de face en</w:t>
      </w:r>
    </w:p>
    <w:p>
      <w:r>
        <w:t>- 21 - lui portant un coup à l'aisselle gauche, alors que le plaignant se retournait. D'emblée on doit considérer que la thèse d'un second coup de couteau accidentel ne résiste pas à l'examen, car il est absurde de prétendre qu'un coup de couteau pourrait résulter d'une négligence, tant il est évident que celui qui est porteur d'une arme blanche qui blesse une seconde fois son antagoniste qui lui fait face, après lui avoir causé une première blessure de dos, agit à tout le moins par dol éventuel. L'appelant ne peut rien déduire d'ailleurs de la localisation de la seconde blessure, puisque la victime se retournait et que, dans le mouvement, le prévenu ne pouvait pas viser un endroit précis du torse. Il a simplement choisi de frapper encore une fois au moyen du couteau, ce qui dénote une intention délictuelle persistante, et constitue un indice de sa volonté homicide. Quant à l’argument selon lequel le second coup de couteau aurait été donné alors que d’autres personnes intervenaient pour séparer le prévenu de sa victime, il ne trouve aucun appui dans le dossier, au contraire, puisqu’il apparaît que lorsque les intéressés ont été séparés, la victime avait déjà été blessée à deux reprises. Pour le surplus, c'est en vain également que l'appelant tente de relativiser la gravité du premier coup de couteau donné dans le dos. Il faut au contraire constater que le coup a été donné par surprise avec une lame pointue et aiguisée et a provoqué une lésion importante nécessitant 22 points de suture. Si d'un point de vue médico-légal les blessures ont été qualifiées de superficielles et n'ont pas mis en danger la vie du plaignant (P. 29, p. 8), il n'en demeure pas moins que les coups ont été portés avec détermination, la longueur de la blessure dans le dos l'attestant et, quoi qu'en dise l'appelant, avec intensité également pour le second coup. Pour s'en convaincre, il suffit de prendre connaissance de la photographie (cf. P. 5/8) qui montre l'importante plaie sous l'aisselle gauche du plaignant, qui aurait pu toucher une artère, et qui se situe non loin du cœur. Il convient par ailleurs, pour déterminer la volonté de l’auteur, d’examiner les circonstances dans leur globalité et non, comme le voudrait l’appelant, en deux temps. Il faut ainsi retenir qu'à deux reprises le prévenu a frappé le plaignant au moyen d'un couteau, lui occasionnant</w:t>
      </w:r>
    </w:p>
    <w:p>
      <w:r>
        <w:t>- 22 - d'abord une importante lésion dans le dos, mais surtout, le frappant à nouveau au torse dans le but de poursuivre son agression à l'arme blanche. Le fait de frapper à deux reprises sur le haut du corps avec un couteau aiguisé constitue une prise de risque mortel, cela d'autant que l'attaque débute par l’arrière et que l'auteur renouvèle sa frappe lorsque la victime lui fait face. Le mobile de vengeance et l’état d’énervement de l’auteur doivent aussi être pris en compte pour retenir que N.________ souhaitait punir son antagoniste, en acceptant le cas échéant une issue mortelle. Objectivement et subjectivement, les éléments constitutifs de la tentative de meurtre sont donc réalisés et la condamnation de N.________ doit dès lors être confirmée.</w:t>
      </w:r>
    </w:p>
    <w:p>
      <w:r>
        <w:rPr>
          <w:b/>
        </w:rPr>
        <w:t>E. 5</w:t>
      </w:r>
    </w:p>
    <w:p>
      <w:r>
        <w:t>L'appelant se plaint ensuite de la sévérité de la peine qui lui a été infligée en première instance, indépendamment de la qualification juridique retenue. Les premiers juges n'auraient pas pris en compte sa bonne collaboration durant la procédure, ses excuses sincères et le retrait de plainte intervenu en faveur de sa victime, le fait qu'il aurait été « tabassé » avant les faits retenus contre lui et son parcours de vie difficile. Selon lui, un poids trop important aurait ainsi été accordé aux éléments à charge.</w:t>
      </w:r>
    </w:p>
    <w:p>
      <w:r>
        <w:rPr>
          <w:b/>
        </w:rPr>
        <w:t>E. 5.1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- 23 -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5.2</w:t>
      </w:r>
    </w:p>
    <w:p>
      <w:r>
        <w:t>En l’espèce, les premiers juges ont considéré que la culpabilité de N.________ était lourde. Il s’en était pris au bien juridique le plus précieux en utilisant à deux reprises et avec force un couteau acéré, agressant lâchement sa victime dans le dos, pour un motif futile, alors que la bagarre ayant précédé avait pris fin. Il ne semblait aucunement avoir pris conscience de la gravité de ses actes, qu’il avait alternativement niés, justifiés ou minimisés, tout en accablant sa victime. A décharge, il y avait lieu de tenir compte de la reconnaissance de responsabilité pour les faits admis et l’admission des conclusions civiles. Lorsque l’appelant affirme avoir été tabassé par le plaignant avant de commette l’infraction, il s'écarte de l'état de fait retenu, qui constate que les deux parties ont retiré leur plainte pour lésions corporelles, ce qui a mis fin aux poursuites pénales en relation avec la bagarre initiale. Au demeurant, il est erroné de dire qu’il aurait été « tabassé », puisqu’il ressort du récit crédible de la victime, corroboré par les témoignages, qu’il s’est agi d’une bagarre au cours de laquelle des coups ont été mutuellement échangés, entre le plaignant et le prévenu uniquement. Pour le reste, les premiers juges ont correctement apprécié la culpabilité de N.________, en relevant que l'infraction était grave en raison du bien juridiquement protégé, de la manière d’agir et de l'absence de réelle de prise de conscience découlant de l'inversion des rôles chez le</w:t>
      </w:r>
    </w:p>
    <w:p>
      <w:r>
        <w:t>- 24 - prévenu. Cette appréciation doit du reste être confirmée ensuite de l’audition de l’intéressé en appel, qui a évoqué un « accident » et qui persiste à prétendre que le second coup de couteau aurait été donné involontairement (cf. supra, p. 3), malgré l’absurdité de cette explication. Dans ce contexte, les excuses formulées apparaissent de pure circonstance et l’intéressé ne saurait s’en prévaloir. Tout au plus doit-on retenir à décharge, comme l’on fait les premiers juges, la collaboration limitée du prévenu à l'enquête, soit sur des faits qu'il ne pouvait pas contester, en raison des témoins présents, à savoir qu'il était bien l'auteur des coups de couteau. La situation personnelle de l’appelant a également été prise en compte, puisqu’elle a été décrite en p. 12 du jugement, qui fait état du parcours migratoire de l’intéressé et de son récit contradictoire au sujet de sa famille. Quant au bon comportement en détention, il est attendu de chacun. Il s’ensuit que la peine privative de liberté de 4 ans infligée à N.________ est adéquate et doit être confirmée. Cette peine n’est pas compatible avec le sursis, même partiel. Quant à l’amende de 500 fr. sanctionnant la contravention à la loi fédérale sur les stupéfiants, elle est également adéquate et n’est du reste pas contestée.</w:t>
      </w:r>
    </w:p>
    <w:p>
      <w:r>
        <w:rPr>
          <w:b/>
        </w:rPr>
        <w:t>E. 6</w:t>
      </w:r>
    </w:p>
    <w:p>
      <w:r>
        <w:t>mai 2020 consid. 1.2.2 ; cf. ATF 134 II 10 consid. 4.3 ; plus récemment TF 6B_153/2020 du 28 avril 2020 consid. 1.3.2).</w:t>
      </w:r>
    </w:p>
    <w:p>
      <w:r>
        <w:rPr>
          <w:b/>
        </w:rPr>
        <w:t>E. 6.1</w:t>
      </w:r>
    </w:p>
    <w:p>
      <w:r>
        <w:t>Aux termes de l'art. 66a al. 1 let. a CP, le juge expulse de Suisse l'étranger qui est condamné notamment pour meurtre, quelle que soit la quotité de la peine prononcée à son encontre, pour une durée de cinq à quinze ans. Selon</w:t>
      </w:r>
    </w:p>
    <w:p>
      <w:r>
        <w:t>- 25 -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solution est identique en cas de tentative (Dupuis et alii, Petit commentaire CP, 2e éd., Bâle 2017, n. 1 ad art. 66a CP). L’art.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6B_124/2020 du 1er mai 2020 consid. 3.2.1 ; TF 6B_1329/2018 du 14 février 2019 consid. 2.2 ; TF 6B_1262/2018 du 29 janvier 2019 consid. 2.2).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6B_124/2020 précité ; TF 6B_1421/2019 du 12 février 2020 consid. 1.3 ; TF 6B_1024/2019 du 29 janvier 2020 consid. 1.3.2). La clause de rigueur permet de garantir le principe de la proportionnalité (cf. art. 5 al. 2 Cst. ; ATF 146 IV 105 consid. 3.4.2 ; ATF</w:t>
      </w:r>
    </w:p>
    <w:p>
      <w:r>
        <w:t>- 26 - 144 IV 332 consid. 3.3.1). Elle doit être appliquée de manière restrictive (ATF 144 IV 332 consid. 3.3.1). Il convient de s'inspirer des critères énoncés à l'art. 31 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6B_1417/2019, déjà 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(TF 6B_255/2020 du</w:t>
      </w:r>
    </w:p>
    <w:p>
      <w:r>
        <w:t>- 27 -</w:t>
      </w:r>
    </w:p>
    <w:p>
      <w:r>
        <w:rPr>
          <w:b/>
        </w:rPr>
        <w:t>E. 6.2</w:t>
      </w:r>
    </w:p>
    <w:p>
      <w:r>
        <w:t>En l’espèce, N.________ est arrivé en Suisse en 2015 alors qu’il était adulte, de sorte que ses liens avec notre pays sont ténus. Alors qu’il a suivi sa scolarité et a appris un métier dans son pays d’origine, il n’a aucune attache réelle en Suisse et les membres de sa famille vivent soit en Afghanistan, soit aux Etats-Unis. Il ne parle pas le français même s’il suit des cours en détention. Il est uniquement au bénéfice d’une admission provisoire en raison du rejet de sa demande d’asile et de la non exécutabilité de son renvoi, mais il ne disposera pas à l’avenir d’un statut de séjour en Suisse. Son intérêt à demeurer dans notre pays est donc pratiquement nul, tandis que ses perspectives de réintégration en Afghanistan, pays avec lequel il a davantage de liens, ne le sont pas. Ainsi, force est de constater que l’intérêt privé de N.________ à demeurer en suisse est très faible en comparaison de l’intérêt public à l’expulser. Cet intérêt est évident au vu de la gravité de l’infraction commise et de l’absence de prise de conscience, et ce malgré un casier judiciaire vierge. L’appelant ne peut par ailleurs pas se prévaloir du fait que son expulsion dans son pays d’origine serait susceptible de le mettre dans une situation personnelle particulièrement grave, respectivement de l’exposer à un danger concret en violation de l’art. 3 CEDH. Il ressort de la jurisprudence du Tribunal fédéral rendue en droit des étrangers que la situation en Afghanistan sur le plan sécuritaire et humanitaire menace concrètement la vie des personnes, ce qui n’exclut pas en soi un retour dans ce pays ; il convient cependant d’examiner les désavantages concrets pour la personne concernée découlant de cette situation (cf. TF 2C_396/2017 du</w:t>
      </w:r>
    </w:p>
    <w:p>
      <w:r>
        <w:rPr>
          <w:b/>
        </w:rPr>
        <w:t>E. 8</w:t>
      </w:r>
    </w:p>
    <w:p>
      <w:r>
        <w:t>janvier 2018 consid. 7.6). Or, d’une part, il résulte de la décision du Secrétariat d’Etat aux migrations du 30 avril 2018 refusant l’asile à N.________ que ses déclarations quant à la chronologie des faits relatés et aux menaces et préjudices prétendument subis de la part des Talibans étaient confuses, incohérentes et, en définitive, invraisemblables ; les documents qu’il avait déposés appuyaient par ailleurs ses dires quant à</w:t>
      </w:r>
    </w:p>
    <w:p>
      <w:r>
        <w:t>- 28 - son identité et son activité professionnelle, mais ne faisaient pas état de persécutions (cf. dossier du SPOP inventorié sous fiche no 29491, décision du 8 janvier 2018, pp. 3-4). L’appelant ne peut donc pas se prévaloir d’une prétendue collaboration avec les forces américaines, respectivement de persécutions par les Talibans, ces éléments n’étant pas établis à satisfaction et ayant été jugés invraisemblables par les autorités administratives. D’autre part, on relèvera que le solde de la peine privative de liberté à exécuter avant l’expulsion est encore important et que la situation en Afghanistan est susceptible d’évoluer dans l’intervalle. Il appartiendra ainsi à l’autorité d’exécution de déterminer, à l’issue de la peine, si le renvoi peut être ordonné ou non (art. 66d CP), un pronostic effectué à ce jour ne pouvant qu’être prématuré. L’expulsion de N.________ doit donc être confirmée, pour une durée de dix ans, cette durée étant par ailleurs proportionnée. Cette mesure sera inscrite au fichier SIS. 7. Au vu de ce qui précède, l’appel doit être rejeté et le jugement entrepris confirmé. La détention subie depuis le jugement de première instance sera déduite de la peine infligée conformément à l’art. 51 CP. Le maintien en détention en exécution anticipée de peine de l’appelant sera en outre ordonné pour garantir l’exécution de la peine prononcée, vu le risque de fuite manifeste qu’il présente, compte tenu de l’absence de liens avec la Suisse (art. 221 al. 1 let. a CPP). Le défenseur d’office de N.________ a produit en audience une liste d’opérations dont il n’y a pas lieu de s’écarter, si ce n’est s’agissant du temps comptabilisé pour l’audience d’appel, surestimé, qui sera réduit. C’est ainsi une indemnité de 2'591 fr. 80 qui sera allouée à Me Martin Brechbühl pour la procédure d’appel, correspondant à 11,8 heures</w:t>
      </w:r>
    </w:p>
    <w:p>
      <w:r>
        <w:t>- 29 - d’avocat au tarif horaire de 180 fr., à 42 fr.50 de débours au taux forfaitaire de 2%, à 240 fr. de vacation et à 185 fr. 30 de TVA. Vu l’issue de la cause, les frais de la procédure d’appel, par 5'191 fr. 80, constitués des émoluments de jugement et d’audience (art. 21 al. 1 et 2 TFIP), par 2’600 fr., ainsi que de l’indemnité d’office précitée, seront mises à la charge de N.________, qui succombe (art. 428 al. 1 CPP). N.________ ne sera tenue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