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PE20.010524 vom 15. Oktober 2020</w:t>
      </w:r>
    </w:p>
    <w:p>
      <w:r>
        <w:t>VD Tribunal cantonal, 2020-10-15, FR</w:t>
      </w:r>
    </w:p>
    <w:p>
      <w:r>
        <w:rPr>
          <w:b/>
        </w:rPr>
        <w:t xml:space="preserve">Quelle: </w:t>
      </w:r>
      <w:r>
        <w:t>https://mcp.opencaselaw.ch/entscheid/vd_gerichte_PE20.010524</w:t>
      </w:r>
    </w:p>
    <w:p>
      <w:r>
        <w:t>FR: VD_GERICHTE PE20.010524 du 15 octobre 2020</w:t>
      </w:r>
    </w:p>
    <w:p>
      <w:r>
        <w:t>IT: VD_GERICHTE PE20.010524 del 15 ottobre 2020</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t>- 4 -</w:t>
      </w:r>
    </w:p>
    <w:p>
      <w:r>
        <w:rPr>
          <w:b/>
        </w:rPr>
        <w:t>E. 2.1</w:t>
      </w:r>
    </w:p>
    <w:p>
      <w:r>
        <w:t>le recourant soutient d’abord que son droit d’être entendu aurait été violé, dès lors que ses arguments n’ont pas été discutés.</w:t>
      </w:r>
    </w:p>
    <w:p>
      <w:r>
        <w:rPr>
          <w:b/>
        </w:rPr>
        <w:t>E. 2.2</w:t>
      </w:r>
    </w:p>
    <w:p>
      <w:r>
        <w:t>Le droit d'être entendu, garanti par les art. 3 al. 2 let. c CPP, 29 al. 2 Cst. (Constitution fédérale de la Confédération suisse du 18 avril 1999 ; RS 101) et 6 par. 1 CEDH (Convention de sauvegarde des droits de l’homme et des libertés fondamentales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 Parein- Reymond, Petit Commentaire du Code de procédure pénale, 2e éd., Bâle 2016, nn. 6 ss ad art. 80 CPP). Le droit d'être entendu est une garantie constitutionnelle de caractère formel, dont la violation doit entraîner l'annulation de la décision, indépendamment des chances de succès du recours sur le fond (ATF 135 I 187 consid. 2.2). En principe, le défaut de motivation conduit à l'annulation de l'ordonnance et au renvoi du dossier à l'autorité saisie de la cause pour nouvelle décision (cf. CREP 28 septembre 2017/662).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La motivation peut être implicite et résulter des différents considérants de la décision (ATF 141 V 557 consid. 3.2.1 et les références</w:t>
      </w:r>
    </w:p>
    <w:p>
      <w:r>
        <w:t>- 5 - citées ; CREP du 27 mai 2019/425). En matière de détention provisoire, le renvoi à une précédente motivation est admissible et ne constitue pas une violation du droit d'être entendu, en l'absence de circonstance justifiant une nouvelle appréciation de la situation (TF 1B_149/2010 du 1er juin 2010 consid. 1.3 et les références citées ; CREP 27 mars 2019/243 consid. 4.2.1 ; CREP 23 août 2018/645 consid. 3.3 ; CREP 20 mai 2017/185 consid.</w:t>
      </w:r>
    </w:p>
    <w:p>
      <w:r>
        <w:rPr>
          <w:b/>
        </w:rPr>
        <w:t>E. 2.3</w:t>
      </w:r>
    </w:p>
    <w:p>
      <w:r>
        <w:t>Certes l’ordonnance attaquée est brève, dès lors qu’elle renvoie à la motivation de la précédente ordonnance de mise en détention du 3 juillet 2020, non contestée. Cette manière de faire est cependant admissible. Quoi qu’il en soit, la Chambre des recours pénale dispose d’un large pouvoir d’appréciation, de sorte qu’un éventuel vice pourrait être réparé par l’examen de la Cour de céans.</w:t>
      </w:r>
    </w:p>
    <w:p>
      <w:r>
        <w:rPr>
          <w:b/>
        </w:rPr>
        <w:t>E. 3</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4.1</w:t>
      </w:r>
    </w:p>
    <w:p>
      <w:r>
        <w:t>Le recourant conteste l’existence de soupçons suffisants, dès lors que ceux-ci n’auraient pas été confirmés après trois mois d’enquête et se seraient au contraire amenuisés.</w:t>
      </w:r>
    </w:p>
    <w:p>
      <w:r>
        <w:t>- 6 -</w:t>
      </w:r>
    </w:p>
    <w:p>
      <w:r>
        <w:rPr>
          <w:b/>
        </w:rPr>
        <w:t>E. 4.2</w:t>
      </w:r>
    </w:p>
    <w:p>
      <w:r>
        <w:t>; ATF 132 I 21 consid. 3.2.2 ; TF 1B_536/2018 du 21 décembre 2018 consid. 5.1).</w:t>
      </w:r>
    </w:p>
    <w:p>
      <w:r>
        <w:rPr>
          <w:b/>
        </w:rPr>
        <w:t>E. 4.3</w:t>
      </w:r>
    </w:p>
    <w:p>
      <w:r>
        <w:t>Certes, la version des faits du recourant est différente de celle des plaignants. Toutefois, cela ne suffit pas à considérer les indices comme insuffisants. Comme l’a relevé le Tribunal des mesures de contrainte dans son ordonnance du 3 juillet 2020, au demeurant non contestée, les déclarations concordantes des victimes, ainsi que celles de l’agent de police, n’ont pas à être remises en cause à ce stade de la procédure. Il n’appartient pas au Tribunal des mesures de contrainte de soupeser l’ensemble des éléments à la manière du juge du fond, mais seulement de déterminer s’il existe des soupçons suffisants, ce qui est le cas en l’espèce. En effet, outre les déclarations concordantes des plaignants, les blessures subies par les victimes renforcent les soupçons à l’égard du recourant, dont la version des faits apparaît au surplus douteuse. Certes les images de la vidéosurveillance ne permettent pas de confirmer les accusations portées à l’encontre du recourant. Cela étant, la majeure partie du déroulement de l’agression n’apparaît pas sur ces images, de sorte qu’elles ne permettent pas non plus d’infirmer la version des faits des plaignants. Enfin, s’il est vrai qu’il n’y a pas eu d’éléments importants nouveaux depuis la reddition de l’ordonnance du 3 juillet 2020, des investigations sont toutefois en cours. Au vu de ces éléments, il existe, à ce stade de la procédure, des indices suffisamment sérieux de culpabilité à l’encontre de F.________ pour justifier sa mise en détention provisoire.</w:t>
      </w:r>
    </w:p>
    <w:p>
      <w:r>
        <w:rPr>
          <w:b/>
        </w:rPr>
        <w:t>E. 5</w:t>
      </w:r>
    </w:p>
    <w:p>
      <w:r>
        <w:t>L’ordonnance attaquée se fonde sur l’existence d’un risque de fuite (art. 221 al. 1 let. a CPP).</w:t>
      </w:r>
    </w:p>
    <w:p>
      <w:r>
        <w:t>- 7 -</w:t>
      </w:r>
    </w:p>
    <w:p>
      <w:r>
        <w:rPr>
          <w:b/>
        </w:rPr>
        <w:t>E. 5.1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w:t>
      </w:r>
    </w:p>
    <w:p>
      <w:r>
        <w:rPr>
          <w:b/>
        </w:rPr>
        <w:t>E. 5.2</w:t>
      </w:r>
    </w:p>
    <w:p>
      <w:r>
        <w:t>En l’espèce, F.________, ressortissant algérien, titulaire d’un permis N, n’a aucune attache avec la Suisse. En effet, il est arrivé dans ce pays récemment, soit au mois de janvier 2020, réside au centre EVAM et ne travaille pas. Au surplus, toute sa famille vit en Algérie. Ainsi, quand bien même il est requérant d’asile et prétend ne pas vouloir retourner dans son pays, on peut sérieusement craindre qu’il cherche, en cas de libération, à se soustraire à la poursuite pénale dirigée contre lui et à la sanction encourue, que ce soit en disparaissant dans la clandestinité ou en partant à l’étranger, d’autant plus qu’il a déjà trois autres enquêtes ouvertes contre lui. L’existence d’un risque de fuite justifie donc le maintien en détention provisoire du recourant.</w:t>
      </w:r>
    </w:p>
    <w:p>
      <w:r>
        <w:rPr>
          <w:b/>
        </w:rPr>
        <w:t>E. 6</w:t>
      </w:r>
    </w:p>
    <w:p>
      <w:r>
        <w:t>L’ordonnance attaquée se fonde en outre sur l’existence d’un risque de collusion (art. 221 al. 1 let. b CPP).</w:t>
      </w:r>
    </w:p>
    <w:p>
      <w:r>
        <w:rPr>
          <w:b/>
        </w:rPr>
        <w:t>E. 6.2</w:t>
      </w:r>
    </w:p>
    <w:p>
      <w:r>
        <w:t>Selon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w:t>
      </w:r>
    </w:p>
    <w:p>
      <w:r>
        <w:t>- 8 -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1B_536/2018 du 21 décembre 2018 consid. 5.1). Plus l'instruction se trouve à un stade avancé et les faits sont établis avec précision, plus les exigences relatives à la preuve de l'existence d'un risque de collusion sont élevées (ATF 137 IV 122 consid.</w:t>
      </w:r>
    </w:p>
    <w:p>
      <w:r>
        <w:rPr>
          <w:b/>
        </w:rPr>
        <w:t>E. 6.3</w:t>
      </w:r>
    </w:p>
    <w:p>
      <w:r>
        <w:t>En l’espèce, le recourant conteste les faits qui lui sont reprochés. Ses déclarations ne concordent ni avec les éléments déjà recueillis ni avec les déclarations de son comparse. Le risque de collusion est ainsi patent. Des mesures d’instruction sont en effet en cours pour reconstituer les faits et comprendre le rôle tenu par les deux prévenus. Les parties plaignantes seront réentendues à réception du rapport final de la police et des contrôles s’agissant des données signalétiques du prévenu sont également en cours, afin de déterminer l’étendue de son activité délictueuse. Il est indispensable que F.________ ne puisse pas devancer les enquêteurs et interférer dans le bon déroulement de l’enquête en prenant contact avec les victimes, ce qu’il est concrètement à craindre qu’il fasse en cas de libération. Le fait que celles-ci aient le statut de touristes, comme le soutient le recourant, n’est pas déterminant, d’autant moins qu’il faut en outre éviter que celui-ci entrave l’instruction, en informant son coprévenu ou en se mettant d’accord avec lui sur une version commune.</w:t>
      </w:r>
    </w:p>
    <w:p>
      <w:r>
        <w:t>- 9 - Au vu de ce qui précède, le risque de collusion s'oppose, en l’état, à la levée de la détention provisoire du recourant.</w:t>
      </w:r>
    </w:p>
    <w:p>
      <w:r>
        <w:rPr>
          <w:b/>
        </w:rPr>
        <w:t>E. 7</w:t>
      </w:r>
    </w:p>
    <w:p>
      <w:r>
        <w:t>Aucune mesure de substitution ne serait propre à pallier l’existence des risques de fuite et de collusion, le recourant n'en proposant d'ailleurs aucune.</w:t>
      </w:r>
    </w:p>
    <w:p>
      <w:r>
        <w:rPr>
          <w:b/>
        </w:rPr>
        <w:t>E. 8.1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8.2</w:t>
      </w:r>
    </w:p>
    <w:p>
      <w:r>
        <w:t>En l’espèce, le recourant est détenu depuis le 30 juin 2020, soit depuis environ trois mois et demi. Compte tenu des faits qui lui sont reprochés, il s'expose à une peine privative de liberté d’une durée supérieure à celle de la détention subie à ce jour. En effet, la Cour de céans ne partage pas l’appréciation du recourant qui estime « qu’il s’agit d’une bien petite affaire ». Cette expression montre, s’il était besoin, l’absence de prise de conscience du recourant. Mais surtout, c’est perdre de vue que l’infraction de brigandage qualifié, dont il est prévenu, fixe une peine privative de liberté menace d’un an au minimum. Le principe de la proportionnalité est donc respecté.</w:t>
      </w:r>
    </w:p>
    <w:p>
      <w:r>
        <w:t>- 10 -</w:t>
      </w:r>
    </w:p>
    <w:p>
      <w:r>
        <w:rPr>
          <w:b/>
        </w:rPr>
        <w:t>E. 9</w:t>
      </w:r>
    </w:p>
    <w:p>
      <w:r>
        <w:t>Il résulte de ce qui précède que le recours doit être rejeté sans échange d’écritures (art. 390 al. 2 CPP) et l’ordonnance attaquée confirmée. Les frais de la procédure de recours, constitués en l’espèce de l’émolument d'arrêt, par 1’100 fr. (art. 20 al. 1 TFIP [Tarif des frais judiciaires de procédure et indemnités en matière pénale du 28 septembre 2010; BLV 312.03.1]), et des frais imputables à la défense d’office (art. 422 al. 1 et 2 let. a CPP), fixés à 360 fr., auxquels il convient d’ajouter des débours forfaitaires à concurrence de 2%, par 7 fr. 20, plus la TVA, par 28 fr. 30, soit à 395 fr. 50 au total, montant arrondi à 396 fr.,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29 septembre 2020 est confirmée. III. L’indemnité allouée au défenseur d’office du recourant est fixée à 396 fr. (trois cent nonante-six francs). IV. Les frais d’arrêt, par 1’100 fr. (mille cent francs), ainsi que l’indemnité due au défenseur d’office de F.________, par 396 fr. (trois cent nonante-six francs), sont mis à la charge de ce dernier. V. Le remboursement à l'Etat de l'indemnité allouée au chiffre III ci-dessus ne sera exigible que pour autant que la situation financière de F.________ le permette.</w:t>
      </w:r>
    </w:p>
    <w:p>
      <w:r>
        <w:t>- 11 - VI. L’arrêt est exécutoire. Le président : La greffière : Du Le présent arrêt, dont la rédaction a été approuvée à huis clos, est notifié, par l'envoi d'une copie complète, à : - Me Jean-Nicolas Roud, avocat (pour F.________), - Ministère public central ; et communiqué à : - Mme la Présidente du Tribunal des mesures de contrainte, - Mme la Procureure cantonale Strada, - Mme A.________, - M. L.________, - M. T.________,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