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PE20.010322 vom 27. Oktober 2025</w:t>
      </w:r>
    </w:p>
    <w:p>
      <w:r>
        <w:t>VD Tribunal cantonal, 2025-10-27, FR</w:t>
      </w:r>
    </w:p>
    <w:p>
      <w:r>
        <w:rPr>
          <w:b/>
        </w:rPr>
        <w:t xml:space="preserve">Quelle: </w:t>
      </w:r>
      <w:r>
        <w:t>https://mcp.opencaselaw.ch/entscheid/vd_gerichte_PE20.010322</w:t>
      </w:r>
    </w:p>
    <w:p>
      <w:r>
        <w:t>FR: VD_GERICHTE PE20.010322 du 27 octobre 2025</w:t>
      </w:r>
    </w:p>
    <w:p>
      <w:r>
        <w:t>IT: VD_GERICHTE PE20.010322 del 27 ottobre 2025</w:t>
      </w:r>
    </w:p>
    <w:p>
      <w:pPr>
        <w:pStyle w:val="Heading2"/>
      </w:pPr>
      <w:r>
        <w:t>Erwägungen</w:t>
      </w:r>
    </w:p>
    <w:p>
      <w:r>
        <w:rPr>
          <w:b/>
        </w:rPr>
        <w:t>E. 1.1</w:t>
      </w:r>
    </w:p>
    <w:p>
      <w:r>
        <w:t>Les parties peuvent attaquer une ordonnance de classement rendue par le ministère public en application des art. 319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auprès de l’autorité compétente par les parties plaignantes qui ont qualité pour recours (art. 382 al. 1 CPP) et satisfaisant aux conditions de forme prescrites (art. 385 al. 1 CPP), le recours de D.________ et G.________ est recevable.</w:t>
      </w:r>
    </w:p>
    <w:p>
      <w:r>
        <w:t>- 5 -</w:t>
      </w:r>
    </w:p>
    <w:p>
      <w:r>
        <w:rPr>
          <w:b/>
        </w:rPr>
        <w:t>E. 2.1.1</w:t>
      </w:r>
    </w:p>
    <w:p>
      <w:r>
        <w:t>Les recourants contestent le classement de la procédure dirigée contre K.________. Dans un premier grief, ils invoquent une violation des art. 319 al. 1 CPP et 157 CP, dénonçant une constatation incomplète et erronée des faits. Dans un second grief, ils se plaignent d’une violation de leur droit d’être entendus, reprochant au Ministère public d’avoir refusé de donner suite à leurs réquisitions de preuves.</w:t>
      </w:r>
    </w:p>
    <w:p>
      <w:r>
        <w:rPr>
          <w:b/>
        </w:rPr>
        <w:t>E. 2.1.2</w:t>
      </w:r>
    </w:p>
    <w:p>
      <w:r>
        <w:t>L’examen des réquisitions de preuve des recourants se confondant avec le grief sur le fond, il sera procédé à une analyse commune.</w:t>
      </w:r>
    </w:p>
    <w:p>
      <w:r>
        <w:rPr>
          <w:b/>
        </w:rPr>
        <w:t>E. 2.2.1.1</w:t>
      </w:r>
    </w:p>
    <w:p>
      <w:r>
        <w:t>Selon l’art. 319 al. 1 CPP, le ministère public ordonne le classement de tout ou partie de la procédure : (let. a) lorsqu’aucun soupçon justifiant une mise en accusation n’est établi ou (let. b) lorsque les éléments constitutifs d’une infraction ne sont pas réunis.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w:t>
      </w:r>
    </w:p>
    <w:p>
      <w:r>
        <w:t>- 6 - s’agissant de la situation factuelle ou juridique, ce n’est pas à l’autorité d’instruction ou d’accusation mais au juge matériellement compétent qu’il appartient de se prononcer (ATF 143 IV 241 consid. 2.2.1, JdT 2017 IV 357 ; ATF 138 IV 86 consid. 4.1.1 et 4.1.2 et les références citées ; TF 6B_996/2021 du 31 mai 2022 consid. 3.1 et les références citées).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(TF 7B_153/2022 du 20 juillet 2023 consid. 3.5).</w:t>
      </w:r>
    </w:p>
    <w:p>
      <w:r>
        <w:rPr>
          <w:b/>
        </w:rPr>
        <w:t>E. 2.2.1.2</w:t>
      </w:r>
    </w:p>
    <w:p>
      <w:r>
        <w:t>Le recours peut être formé pour constatation incomplète ou erronée des faits (art. 393 al. 2 let. b CPP). La constatation des faits est incomplète lorsque des faits pourtant pertinents et évoqués par les parties ne figurent pas au dossier. Elle est erronée lorsque des pièces du dossier la contredisent ou que l’autorité de recours n’arrive pas à déterminer sur quelles bases et de quelle manière le droit a été appliqué, respectivement lorsqu'elle ne coïncide pas avec le résultat de l'administration des preuves (Moreillon/Parein-Reymond, Petit Commentaire, Code de procédure pénale, 3e éd., Bâle 2025, n. 31 ad art. 393 CPP et les réf.). Cette disposition impose ainsi à l'autorité de recours de substituer sa propre appréciation des preuves à celle de l'autorité précédente, respectivement d'établir elle-même les faits pertinents (Sträuli, Commentaire romand, Code de procédure pénale suisse, 2e éd., Bâle 2019, nn. 79-80 ad art. 393 CPP).</w:t>
      </w:r>
    </w:p>
    <w:p>
      <w:r>
        <w:rPr>
          <w:b/>
        </w:rPr>
        <w:t>E. 2.2.1.3</w:t>
      </w:r>
    </w:p>
    <w:p>
      <w:r>
        <w:t>Se rend coupable d’usure au sens de l’art. 157 ch. 1 CP quiconque exploite la gêne, la dépendance, l’inexpérience ou la faiblesse</w:t>
      </w:r>
    </w:p>
    <w:p>
      <w:r>
        <w:t>- 7 - de la capacité de jugement d’une personne en se faisant accorder ou promettre par elle, pour lui-même ou pour un tiers, en échange d’une prestation, des avantages pécuniaires en disproportion évidente avec celle-ci sur le plan économique ou quiconque acquiert une créance usuraire et l’aliène ou la fait valoir. Cette infraction suppose la réalisation des éléments constitutifs objectifs suivants : une situation de faiblesse de la victime, l'exploitation de cette situation de faiblesse, l'échange d'une contre- prestation, une disproportion évidente entre l'avantage pécuniaire et la contre-prestation, ainsi que l'existence d'un rapport de causalité entre la situation de faiblesse et la disproportion des prestations (TF 6B_296/2024 du 7 avril 2025 consid. 3.1 et les références citées, destiné à publication). Du point de vue subjectif, l'infraction est intentionnelle. Le dol éventuel suffit (ATF 130 IV 106 consid. 7.2). L'intention doit porter sur la disproportion évidente entre la prestation et la contre-prestation ainsi que sur la situation de faiblesse de la victime (TF 6B_296/2024 précité et les références citées). Parmi les situations de faiblesse visées par l'art. 157 CP, l'état de gêne s'entend de tout état de contrainte qui influe si fort sur la liberté de décision de la personne lésée qu'elle est prête à fournir une prestation disproportionnée (ATF 92 IV 132 consid. 2 ; cf. aussi pour l'exigence d'une contrepartie, ATF 142 IV 341 consid. 2 ; TF 6B_296/2024 précité et les références citées). Il ne s'agit pas nécessairement d'une gêne financière et elle peut être seulement passagère. Il faut procéder à une appréciation objective de l'état de gêne (TF 6B_794/2021 du 21 mars 2022 consid. 5.3). Le consentement de la victime n'exclut pas l'application de l'art. 157 CP. Il en est au contraire un élément (ATF 82 IV 145 consid. 2b). La jurisprudence a notamment admis la gêne dans le cas d'une personne se trouvant dans le besoin extrême de trouver un toit pour se loger, par exemple en cas de pénurie de logements (cf. ATF 93 IV 85 consid. 5 ; ATF 92 IV 132 consid. 2), de même que pour une personne temporairement sans permis de séjour, sans ressources et nécessitant un logement pour</w:t>
      </w:r>
    </w:p>
    <w:p>
      <w:r>
        <w:t>- 8 - accueillir aussi bien son enfant que recevoir une aide financière, ou encore pour un locataire sans emploi, à l'aide sociale, rencontrant des problèmes de santé (cf. TF 6B_296/2024 précité et les références citées). L'art. 157 CP suppose que l'auteur obtienne l'avantage patrimonial « échange d'une prestation ». L'usure ne peut donc intervenir que dans le cadre d'un contrat onéreux (ATF 130 IV 106 consid. 7.2 ; ATF 111 IV 139 consid. 3c). L'avantage pécuniaire obtenu doit être en disproportion évidente, sur le plan économique, avec la prestation fournie. Elle doit être évaluée de manière objective (ATF 130 IV 106 consid. 7.2). Le rapport entre la prestation et la contre-prestation se mesure dans le cas normal selon le prix ou la rémunération usuels pour des choses ou des services de même espèce (ATF 93 IV 85 consid. 2 ; ATF 92 IV 132 consid. 1 ; TF 6B_296/2024 précité et les références citées).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 elle doit s'imposer comme frappante aux yeux de tout client (ATF 92 IV 132 consid. 1 ; TF 6B_296/2024 précité et la référence citée). Dans la doctrine, une limite de l'ordre de 20 % est évoquée pour les domaines réglementés ; pour les autres domaines, il y a usure, dans tous les cas, dès 35 % (TF 6B_996/2021 du 31 mai 2022 consid. 3.3 ; TF 6B_918/2018 du 24 avril 2019 consid. 2.4.3 ; d'un autre avis : Ursula Cassani, Liberté contractuelle et protection pénale de la partie faible : l'usure, une infraction en quête de sens, in : Le contrat dans tous ses états, 2004, p. 144, qui estime qu'il n'existe une disproportion évidente qu'à partir de 50 %). La jurisprudence considère comme décisive la valeur patrimoniale effective, c'est-à-dire la valeur de la prestation calculée en tenant compte de toutes les circonstances (TF 6B_296/2024 précité et les références citées).</w:t>
      </w:r>
    </w:p>
    <w:p>
      <w:r>
        <w:t>- 9 -</w:t>
      </w:r>
    </w:p>
    <w:p>
      <w:r>
        <w:rPr>
          <w:b/>
        </w:rPr>
        <w:t>E. 2.2.2</w:t>
      </w:r>
    </w:p>
    <w:p>
      <w:r>
        <w:t>Le droit d'être entendu, tel qu'il est garanti par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Aux termes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(al. 1).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144 II 427 consid. 3.1.3 ; ATF 141 I 60 consid. 3.3 ; ATF 136 I 229 consid. 5.3 ; TF 6B_400/2020 du 20 janvier 2021 consid. 2.1).</w:t>
      </w:r>
    </w:p>
    <w:p>
      <w:r>
        <w:t>- 10 - Le droit d’être entendu garanti à l'art. 29 al. 2 Cst. implique également,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6B_5/2022 du 8 juin 2022 consid. 2.1.1). Il n'est pas tenu de discuter tous les arguments soulevés par les parties, mais peut se limiter à l'examen des questions décisives pour l'issue du litige (ATF 142 II 154 consid. 4.2 ; ATF 139 IV 179 précité ; TF 6B_5/2022 précité). Dès lors que l'on peut discerner les motifs qui ont guidé la décision de l'autorité, le droit à une décision motivée est respecté, même si la motivation présentée est erronée (ATF 141 IV 557 consid. 3.2.1 ; TF 6B_5/2022 précité ; TF 6B_196/2020 du 14 octobre 2020 consid. 2.1). La motivation peut d'ailleurs être implicite et résulter des différents considérants de la décision (ATF 141 IV 557 précité ; TF 6B_5/2022 précité ; TF 6B_179/2020 du 18 mai 2020 consid. 1.2).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28 mars 2023/245 consid. 3.2 ; CREP 1er mars 2023/104 consid. 2.2.2 ; CREP 21 février 2023/88 consid. 2.2.2).</w:t>
      </w:r>
    </w:p>
    <w:p>
      <w:r>
        <w:t>- 11 -</w:t>
      </w:r>
    </w:p>
    <w:p>
      <w:r>
        <w:rPr>
          <w:b/>
        </w:rPr>
        <w:t>E. 2.3.1</w:t>
      </w:r>
    </w:p>
    <w:p>
      <w:r>
        <w:t>Dans un premier grief, les recourants soulèvent plusieurs éléments relatifs à une constatation incomplète et erronée des faits. Premièrement, les recourants se plaignent d’une appréciation erronée ou lacunaire des faits quant à l’état de faiblesse de feu leur père. Ils évoquent les problèmes cardiaques de feu [...] (P. 5/1) et contestent une appréciation fondée sur le seul examen de photographies montrant un homme actif. Ils se réfèrent à une attestation établie post-mortem qui énonce un antécédent médico-cardiaque du prénommé, mais sans indiquer de chronologie et surtout sans discuter d’une éventuelle répercussion de ces pathologies cardiaques sur son discernement et son fonctionnement intellectuel. En l’état, s’il est vrai que l’appréciation de l’état de santé de feu [...] à partir de clichés photographiques est manifestement insuffisante et laisse place au doute, il faut néanmoins retenir que la procureure s’est essentiellement basée sur le fait que ce dernier avait continué ses activités professionnelles jusqu’à décembre 2018, à savoir quelques mois avant son décès. Les problèmes de santé cardiaque de feu [...] ne semblaient manifestement pas avoir d’incidence sur la poursuite de ses affaires. Cet élément de fait emporte la conviction – ou, à tout le moins, ne permet pas d’avoir un doute suffisant – et les certificats produits ne modifient pas cette appréciation. Les recourants se méprennent lorsqu’ils considèrent que le socle de la décision réside dans l’examen des photographies produites par la prévenue, par essence figées. Deuxièmement, les recourants estiment qu’après 2017, l’état de santé de leur père était déficient, attesté notamment par la Dre [...], ce que la procureure aurait admis dans son ordonnance de classement (p. 4, consid. 3.5) : « le médecin généraliste de [...], qui le suivait depuis 2011, a indiqué que l’évolution clinique était plutôt favorable jusqu'en 2017 (P. 5/2) et que ce n'est qu'à partir de cette année-là qu'elle a pu observer la présence d'une fragilité physique et psychique ».</w:t>
      </w:r>
    </w:p>
    <w:p>
      <w:r>
        <w:t>- 12 - Or, les recourants se méprennent sur la portée de cette phrase. Si, depuis 2017, l’évolution de la santé de feu [...] n’était pas favorable et une fragilité a pu être observée, cela ne signifie pas encore que celle-ci était telle qu’elle empêchait le prénommé de gérer ses affaires et ses finances. Le maintien de son activité professionnelle constitue d’ailleurs un indice fort contre l’existence d’un tel empêchement. Faute de description plus détaillée de cette faiblesse ou d’indice permettant d’en douter, il n’est pas possible de retenir que cette faiblesse ait pu entraver les agissements de feu [...]. Troisièmement, s’agissant des échanges WhatsApp dont se prévalent encore les recourants à l’aune de l’appréciation des faits, ils permettent au contraire de constater que feu [...] avait la capacité de discernement suffisante pour apprécier ses dépenses au regard de ses revenus et de sa fortune, indiquant au contraire qu’il semblait en mesure de comprendre la situation et témoignant de l’absence de gêne ou de faiblesse. Quoi qu’il en soit, les recourants se réfèrent à cet échange WhatsApp afin de démontrer l’exploitation de l’état de faiblesse de feu leur père. Or, puisqu’aucun état de faiblesse ne saurait être retenu, leur argumentation est d’emblée dénuée de pertinence. Partant, l’état de fait, compte tenu de la substitution de motifs qui précède, ne repose sur aucune constatation inexacte et le grief doit être rejeté.</w:t>
      </w:r>
    </w:p>
    <w:p>
      <w:r>
        <w:rPr>
          <w:b/>
        </w:rPr>
        <w:t>E. 2.3.2.1</w:t>
      </w:r>
    </w:p>
    <w:p>
      <w:r>
        <w:t>Les recourants dénoncent ensuite la violation de leur droit d’être entendus ensuite du rejet de leurs réquisitions de preuves. Ils estiment que celles-ci portent sur des transferts financiers en faveur de la prévenue et de sa société, partant qu’elles seraient « pertinentes et indispensables à l’infraction d’usure ». Or, puisque les faits ne permettent pas de douter de l’absence d’exploitation d’une faiblesse ou d'une gêne, l’existence et l’étendue des transferts et la localisation actuelle des avoirs sont dénuées de pertinence.</w:t>
      </w:r>
    </w:p>
    <w:p>
      <w:r>
        <w:t>- 13 - Quant à la justification fondée sur la « fishing expedition », elle n’est pas une « formule stéréotypée », puisque les faits dénoncés couvrent effectivement une période plus restreinte. Au demeurant, l’absence de pertinence de la preuve suffit à motiver le rejet de la requête. Il n’y a pas de violation du droit d’être entendu.</w:t>
      </w:r>
    </w:p>
    <w:p>
      <w:r>
        <w:rPr>
          <w:b/>
        </w:rPr>
        <w:t>E. 2.3.2.2</w:t>
      </w:r>
    </w:p>
    <w:p>
      <w:r>
        <w:t>Pour être complet, il convient également de relever que, dans la partie « En fait » de leur mémoire, les recourants se plaignent – sans soulever de grief corrélatif – de l’absence d’acte d’instruction du Ministère public entre le dépôt de la plainte en juin 2020 et le mois de février 2025. Eu égard au grief de violation du droit d’être entendu soulevé, il convient de relever qu’entre 2020 et 2024, la première plainte des recourants faisait l'objet d'une instruction et a été jugée, de sorte qu’il se justifiait d’attendre l’issue de cette procédure parallèle avant d’entreprendre des actes d’instruction dans la présente cause. Au demeurant, il convient de relever que les recourants n’ont formé aucun recours pour déni de justice dans cet intervalle. Par ailleurs, les héritiers de feu [...] s’attachent à souligner qu’ils ont documenté de nombreux transferts de fonds au profit de K.________, sans que ces versements considérables aient fait l’objet de factures ou de justificatifs. Cette critique – autant que cela en soit une – est d’emblée vaine, puisque les versements importants dénoncés n’ont pas été niés. L’infraction d’usure n’a pas été poursuivie parce qu’il n’a pas pu être établi, ni même mis en doute, que la prévenue aurait profité de la gêne ou de la faiblesse de feu [...] pour obtenir ces versements. Par conséquent, le grief tiré de la violation du droit d’être entendu par les recourants est mal fondé.</w:t>
      </w:r>
    </w:p>
    <w:p>
      <w:r>
        <w:rPr>
          <w:b/>
        </w:rPr>
        <w:t>E. 2.3.3</w:t>
      </w:r>
    </w:p>
    <w:p>
      <w:r>
        <w:t>En définitive, c'est donc à juste titre que le Ministère public était fondé à ordonner le classement de la procédure en application de l’art. 319 al. 1 let. b CPP.</w:t>
      </w:r>
    </w:p>
    <w:p>
      <w:r>
        <w:t>- 14 -</w:t>
      </w:r>
    </w:p>
    <w:p>
      <w:r>
        <w:rPr>
          <w:b/>
        </w:rPr>
        <w:t>E. 3</w:t>
      </w:r>
    </w:p>
    <w:p>
      <w:r>
        <w:t>Au vu de ce qui précède, le recours, manifestement mal fondé, doit être rejeté sans échange d’écritures (art. 390 al. 2 CPP) et l’ordonnance entreprise confirmée. Les frais de la procédure de recours, constitués du seul émolument d’arrêt (art. 422 al. 1 CPP), par 1’430 fr. (art. 20 al. 1 TFIP [tarif des frais de procédure et indemnités en matière pénale du 28 septembre 2010 ; BLV 312.03.1]), seront mis à la charge des recourants, qui succombent (art. 428 al. 1 CPP), à parts égales et solidairement entre eux (art. 418 al. 1 et 2 CPP). Le montant de 770 fr. déjà versé par ceux-ci à titre de sûretés (art. 383 al. 1 CPP) sera imputé sur les frais mis à leur charge (art. 7 TFIP), de sorte que le solde dû s’élève à 660 francs. Vu le sort du recours, aucune indemnité fondée sur l’art. 433 CPP ne saurait être allouée. Par ces motifs, la Chambre des recours pénale prononce : I. Le recours est rejeté. II. L’ordonnance du 3 septembre 2025 est confirmée. III. Les frais d’arrêt, par 1’430 fr. (mille quatre cent trente francs), sont mis à la charge de D.________ et G.________, à parts égales et solidairement entre eux.</w:t>
      </w:r>
    </w:p>
    <w:p>
      <w:r>
        <w:t>- 15 - IV. Le montant de 770 fr. (sept cent septante francs) versé par D.________ et G.________ à titre de sûretés est imputé sur les frais mis à leur charge au chiffre III ci-dessus, et le solde dû à l’Etat par les recourants, solidairement entre eux, s’élève à 660 fr. (six cent soixante francs). V. L’arrêt est exécutoire. La vice-présidente : La greffière : Du Le présent arrêt, dont la rédaction a été approuvée à huis clos, est notifié, par l'envoi d'une copie complète, à : - Me Frédéric Serra, avocat (pour D.________ et G.________), - Me Jérôme Bénédict, avocat (pour K.________),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