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PE20.010256 vom 8. September 2025</w:t>
      </w:r>
    </w:p>
    <w:p>
      <w:r>
        <w:t>VD Tribunal cantonal, 2025-09-08, FR</w:t>
      </w:r>
    </w:p>
    <w:p>
      <w:r>
        <w:rPr>
          <w:b/>
        </w:rPr>
        <w:t xml:space="preserve">Quelle: </w:t>
      </w:r>
      <w:r>
        <w:t>https://mcp.opencaselaw.ch/entscheid/vd_gerichte_PE20.010256</w:t>
      </w:r>
    </w:p>
    <w:p>
      <w:r>
        <w:t>FR: VD_GERICHTE PE20.010256 du 8 septembre 2025</w:t>
      </w:r>
    </w:p>
    <w:p>
      <w:r>
        <w:t>IT: VD_GERICHTE PE20.010256 del 8 settembre 2025</w:t>
      </w:r>
    </w:p>
    <w:p>
      <w:pPr>
        <w:pStyle w:val="Heading2"/>
      </w:pPr>
      <w:r>
        <w:t>Erwägungen</w:t>
      </w:r>
    </w:p>
    <w:p>
      <w:r>
        <w:rPr>
          <w:b/>
        </w:rPr>
        <w:t>E. 21</w:t>
      </w:r>
    </w:p>
    <w:p>
      <w:r>
        <w:t>décembre 2005, FF 2006 pp. 1057 ss, spéc. 1255). La décision de classer la procédure doit être prise en application du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2.2.2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 TF 6B_8/2024 du 12 décembre 2024 consid. 2.1.1 ; TF 6B_637/2022 du 29 septembre 2022 consid. 5.1.2),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w:t>
      </w:r>
    </w:p>
    <w:p>
      <w:r>
        <w:t>- 12 -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précité consid. 1a ; ATF 120 IV 17 précité consid. 2a/aa ; TF 6B_20/2024 et 6B_34/2024 du 17 décembre 2024 consid. 15.1).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TF 6B_20/2024 et 6B_34/2024 précités consid. 15.1 ; TF 6B_8/2024 précité consid. 2.1.1).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consid. 3.2.1 ; ATF 137 IV 326 consid. 3.3.1 ; ATF 134 IV 216 consid. 4.1) ; cette dernière hypothèse est en particulier réalisée lorsqu’il n’y a pas de rapport entre l’objet de la menace et l’exigence formulée (ATF 106 IV 125 précité consid. 3a ; ATF 105 IV 120 consid. 2b ; ATF 101 IV 47 consid. 2b et les arrêts cités). Savoir si la restriction de la liberté d'action constitue une contrainte illicite dépend ainsi de l'ampleur de l'entrave, de la nature des moyens employés à la réaliser et des objectifs visés par l'auteur (ATF 129 IV 262 consid 2.1 ; ATF 129 IV 6 consid. 3.4). Un moyen de contrainte doit être taxé d'abusif ou de contraire aux mœurs lorsqu'il permet d'obtenir un avantage indu</w:t>
      </w:r>
    </w:p>
    <w:p>
      <w:r>
        <w:t>- 13 - (ATF 120 IV 17 précité consid. 2a/bb ; ATF 106 IV 125 précité consid 3a ; TF 6B_20/2024 et 6B_34/2024 précités consid. 15.1).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6B_20/2024 et 6B_34/2024 précités consid. 15.1 ; TF 6B_70/2016 du 2 juin 2016 consid. 4.3.4 non publié à l’ATF 142 IV 315). Certes, faire notifier un commandement de payer lorsqu'on est fondé à réclamer une somme est licite. En revanche, utiliser un tel procédé comme moyen de pression est clairement abusif, donc illicite (ATF 115 III 18 consid. 3 ; TF 6B_20/2024 et 6B_34/2024 précités consid. 15.1 ; TF 6B_153/2017 du 28 novembre 2017 consid. 3.1). Autrement dit, il y a une contrainte illicite lorsque la poursuite est abusive (TF 6B_20/2024 et 6B_34/2024 précités consid. 15.1 ; TF 6B_271/2024 du 17 septembre 2024 consid. 2.1.1 ; TF 6B_1396/2021 du 28 juin 2022 consid. 3.1). Sur le plan subjectif, il faut que l'auteur ait agi intentionnellement, c'est-à-dire qu'il ait voulu contraindre la victime à adopter le comportement visé en étant conscient de l'illicéité de son propre comportement ; le dol éventuel suffit (ATF 120 IV 17 précité consid. 2c ; TF 6B_20/2024 et 6B_34/2024 précités consid. 15.1 ; TF 6B_271/2024 précité consid. 2.1.2). Lorsque la victime ne se laisse pas intimider et n'adopte pas le comportement voulu par l'auteur, ce dernier est punissable de tentative de contrainte (art. 22 al. 1 CP ; ATF 129 IV 262 précité consid. 2.7 ; ATF 106 IV 125 précité consid. 2b). Pour qu'il y ait tentative de contrainte, il faut que l'auteur ait agi avec conscience et volonté, soit au moins qu'il ait accepté l'éventualité que le procédé illicite employé entrave le</w:t>
      </w:r>
    </w:p>
    <w:p>
      <w:r>
        <w:t>- 14 - destinataire dans sa liberté de décision (ATF 120 IV 17 précité consid. 2c ; TF 6B_20/2024 et 6B_34/2024 précités consid. 15.1 ; TF 6B_598/2022 du 9 mars 2023 consid. 2.1.2). 2.3 En l’espèce, au sujet des prélèvements et investissements, ainsi que l’a constaté la procureure, d’une part, les versions des protagonistes sont contradictoires, d’autre part, les factures produites expliquent la majorité des dépenses querellées. Avec le Ministère public, on peut constater que les 28 mars et 16 avril 2018, Q.________ a effectué deux versements à V.________ de respectivement 40'000 fr. et 7'000 fr., par l’intermédiaire de sa société W.________Sàrl (P. 42/28 et 42/29). Ensuite, il est vrai que les factures et le journal comptable (P. 42/32bis) ne permettent pas de retracer avec exactitude les montants versés pour le réaménagement du cabinet F.________Sàrl. Cependant, il n’y a pas lieu de remettre en doute les factures produites par T.________ et [...] notamment, sauf à admettre que des faux ont été produits, ce que le recourant ne soutient pas. Il en va de même des écritures qui comprennent des montants versés à [...], [...] et T.________. Le recourant n’a jamais allégué que la tenue de la comptabilité serait erronée et que Q.________ se serait approprié ces sommes au moyen d’une fausse comptabilité. S’il faut concéder qu’il est inusuel que Q.________ passe par l’intermédiaire de sa société pour effectuer certains paiements, on ne peut lui reprocher aucune infraction de ce chef. Les échanges de messages entre les protagonistes sont brefs et ne permettent pas de privilégier une version par rapport à l’autre au sujet de savoir si ces investissements ont été avalisés par V.________ ou s’ils ont été de la seule initiative du prévenu, ce qui de toute manière ne modifie pas la constatation que les prélèvements sont essentiellement justifiés par des dépenses en lien avec l’aménagement du cabinet. Quant à l’encaissement des honoraires de M.________, le recourant fait valoir que la comptabilité ne fait pas ressortir ces encaissements. S’il n’y a effectivement pas trace de ces encaissements dans les comptes de F.________Sàrl, le recourant ne conteste pas que ces honoraires ont été pris en considération par le comptable pour le versement des salaires, en sorte que la tenue non réglementaire des comptes ne peut justifier per se de retenir un enrichissement de Q.________. Ainsi, on ne saurait retenir que ce</w:t>
      </w:r>
    </w:p>
    <w:p>
      <w:r>
        <w:t>- 15 - dernier, en faisant notifier les deux commandements de payer la somme de 25'868 fr., dont le montant total n’apparaît pas particulièrement extravagant au vu de l’ensemble des éléments qui précèdent, poursuivait un objectif autre que celui, légitime, consistant à faire valoir ses droits. Dans ces conditions, c’est en vain que l’on cherche un indice qui permettrait d’accréditer la thèse selon laquelle Q.________ se serait rendu coupable, au préjudice de V.________, d’une tentative de contrainte illicite. Partant, l’un des éléments constitutifs de l’infraction de contrainte n’est manifestement pas réalisé. Au demeurant, les faits ne peuvent pas être élucidés davantage et le recourant n’indique d’ailleurs pas quelle autre mesure d’instruction pourrait être administrée, se limitant à souligner la complexité de fait de la comptabilité. Enfin, l’argument selon lequel une ordonnance de classement ne pourrait pas être rendue après cinq ans d’enquête n’est pas pertinent. Au contraire, le Ministère public a établi soigneusement les faits dans la mesure du possible, avant de rendre sa décision sur la suite de la procédure, et le recourant ne saurait lui faire grief d’avoir épuisé les mesures d’instruction pour élucider les faits. Le recourant ne propose du reste pas de mesures d’instruction ni ne se plaint d’un retard à statuer du Ministère public constituant un déni de justice. Au vu de ce qui précède, le classement prononcé en faveur de Q.________ doit être confirmé, aucune infraction pénale ne pouvant lui être reprochée, le litige étant d’ordre exclusivement civil. 3. En définitive, le recours, manifestement mal fondé, doit être rejeté, dans la mesure où il est recevable, sans échange d’écritures (art. 390 al. 2 CPP) et l’ordonnance entreprise confirmée. Les frais de la procédure de recours, constitués en l’espèce de l’émolument d'arrêt, par 1'540 fr. (art. 20 al. 1 TFIP), seront mis entièrement à la charge de V.________, qui succombe (art. 428 al. 1 CPP), dès lors qu’il a agi en son nom et au nom de F.________Sàrl, alors qu’à la</w:t>
      </w:r>
    </w:p>
    <w:p>
      <w:r>
        <w:t>- 16 - date du dépôt du recours, il n’avait pas le pouvoir d’agir au nom de cette société, occasionnant ainsi les frais de la procédure de recours. Le montant de 770 fr. déjà versé à titre de sûretés sera imputé sur ces frais (art. 383 al. 1 CPP ; art. 7 TFIP), de sorte que le solde en faveur de l’Etat s’élève à 770 francs. Par ces motifs, la Chambre des recours pénale prononce : I. Le recours est rejeté, dans la mesure où il est recevable. II. L’ordonnance du 29 juillet 2025 est confirmée. III. Les frais d’arrêt, par 1'540 fr. (mille cinq cent quarante francs), sont mis à la charge de V.________. IV Le montant de 770 fr. (sept cent septante francs) versé par V.________ à titre de sûretés est imputé sur les frais mis à sa charge au chiffre III ci-dessus, le solde dû à l’Etat s’élevant à 770 fr. (sept cent septante francs). V. L’arrêt est exécutoire. La vice-présidente : La greffière : Du Le présent arrêt, dont la rédaction a été approuvée à huis clos, est notifié, par l'envoi d'une copie complète, à : - Me Olivier Bloch, avocat (pour V.________ et F.________Sàrl), - Me Aline Bonard, avocate (pour Q.________), - Ministère public central,</w:t>
      </w:r>
    </w:p>
    <w:p>
      <w:r>
        <w:t>- 17 - et communiqué à : - Mme la Procureure de l’arrondissement du Nord vaudois,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