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PE20.010208 vom 13. Oktober 2020</w:t>
      </w:r>
    </w:p>
    <w:p>
      <w:r>
        <w:t>VD Tribunal cantonal, 2020-10-13, FR</w:t>
      </w:r>
    </w:p>
    <w:p>
      <w:r>
        <w:rPr>
          <w:b/>
        </w:rPr>
        <w:t xml:space="preserve">Quelle: </w:t>
      </w:r>
      <w:r>
        <w:t>https://mcp.opencaselaw.ch/entscheid/vd_gerichte_PE20.010208</w:t>
      </w:r>
    </w:p>
    <w:p>
      <w:r>
        <w:t>FR: VD_GERICHTE PE20.010208 du 13 octobre 2020</w:t>
      </w:r>
    </w:p>
    <w:p>
      <w:r>
        <w:t>IT: VD_GERICHTE PE20.010208 del 13 ottobre 2020</w:t>
      </w:r>
    </w:p>
    <w:p>
      <w:pPr>
        <w:pStyle w:val="Heading2"/>
      </w:pPr>
      <w:r>
        <w:t>Erwägungen</w:t>
      </w:r>
    </w:p>
    <w:p>
      <w:r>
        <w:rPr>
          <w:b/>
        </w:rPr>
        <w:t>E. 1</w:t>
      </w:r>
    </w:p>
    <w:p>
      <w:r>
        <w:t>L’ordonnance de non-entrée en matière rendue par le Ministère public (art. 310 al. 2 cum art. 322 al. 2 et art. 393 al. 1 CPP [Code de procédure pénale suisse du 5 octobre 2007 ; RS 312.0]) est susceptible de recours par la partie plaignante qui a un intérêt digne de protection (art. 382 al. 1 CPP). Le recours doit être déposé par écrit dans les dix jours devant l’autorité de recours (art. 396 al. 1 CPP) qui, dans le canton de Vaud, est la Chambre des recours pénale du Tribunal cantonal (art. 20 al. 1 let. b CPP et art. 13 LVCPP [loi d’introduction du Code de</w:t>
      </w:r>
    </w:p>
    <w:p>
      <w:r>
        <w:t>- 4 - procédure pénale suisse du 19 mai 2009 ; BLV 312.01] ; art. 80 LOJV [loi d’organisation judiciaire du 12 décembre 1979 ; BLV 173.01]). En l’espèce, l’ordonnance attaquée est parvenue à la recourante le 7 août 2020 au plus tôt et le délai de recours n’a donc pas échu avant le 18 août 2020. Il ressort du timbre postal que le recours a été déposé le 18 août 2020, soit en temps utile, parvenant au greffe le 19 août 2020. Il remplit les autres conditions légales de forme, de sorte qu’il est recevable.</w:t>
      </w:r>
    </w:p>
    <w:p>
      <w:r>
        <w:rPr>
          <w:b/>
        </w:rPr>
        <w:t>E. 2</w:t>
      </w:r>
    </w:p>
    <w:p>
      <w:r>
        <w:t>; ATF 113 IV 29 précité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w:t>
      </w:r>
    </w:p>
    <w:p>
      <w:r>
        <w:rPr>
          <w:b/>
        </w:rPr>
        <w:t>E. 2.1</w:t>
      </w:r>
    </w:p>
    <w:p>
      <w:r>
        <w:t>La recourante soutient que le comportement qu’elle impute à la présidente M.________ pourrait être constitutif d’abus d’autorité, au sens de l’art. 312 CP (Code pénal suisse du 21 décembre 1937 ; RS 311.0), voire d’autres infractions.</w:t>
      </w:r>
    </w:p>
    <w:p>
      <w:r>
        <w:rPr>
          <w:b/>
        </w:rPr>
        <w:t>E. 2.2.1</w:t>
      </w:r>
    </w:p>
    <w:p>
      <w:r>
        <w:t>Commettent un abus d’autorité au sens de l’art. 312 CP les membres d’une autorité et les fonctionnaires qui, dans le dessein de se procurer ou de procurer à un tiers un avantage illicite, ou dans le dessein de nuire à autrui, abusent des pouvoirs de leur charge. L’abus d’autorité consiste dans un exercice abusif de la puissance publique. Tel est le cas lorsque l’auteur use d’une manière non permise de ses pouvoirs officiels – c’est-à-dire s’il prend des dispositions avec effet obligatoire pour un citoyen en dépassant les limites de ce que ses pouvoirs lui permettent (ATF 127 IV 209 consid. 1b, JdT 2003 IV 117 ; ATF 114 IV 41 consid. 2, JdT 1989 IV 72 ; ATF 113 IV 29, JdT 1987 IV 147 ; ATF 108 IV 48 consid. 1, JdT 1983 IV 45 ; TF 6B_649/2009 du 16 octobre 2009 consid. 2.2 ; Dupuis et alii, Petit commentaire du Code pénal, 2e éd., Bâle 2017, n. 16 ad art. 312 CP). Seuls les cas importants de manquement à un devoir officiel constituent un abus d’autorité, les infractions de moindre importance ne relevant pas de la voie pénale (Dupuis et alii, op. cit., n. 19 ad art. 312 et réf. cit.).</w:t>
      </w:r>
    </w:p>
    <w:p>
      <w:r>
        <w:t>- 5 - L’art. 312 CP protège tant l'intérêt de l'Etat à pouvoir compter sur des fonctionnaires fiables faisant un usage raisonné du pouvoir de puissance publique qui leur a été conféré que celui des citoyens à n'être pas en but à un exercice incontrôlé, arbitraire, du pouvoir ainsi confié (ATF 127 IV 209 précité consid. 1b ; TF 6B_1318/2017 du 9 février 2018 consid. 7.2.3 ; TF 6B_761/2016 du 16 mai 2017 consid. 3.4.2).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condition est réalisée lorsque l'auteur use illicitement des pouvoirs qu'il détient de sa charge, c'est-à-dire lorsqu'il décide ou contraint en vertu de sa charge officielle dans un cas où il ne lui était pas permis de le faire (ATF 127 IV 209 précité consid. 1 a/aa ; ATF 114 IV 41 précité consid.</w:t>
      </w:r>
    </w:p>
    <w:p>
      <w:r>
        <w:rPr>
          <w:b/>
        </w:rPr>
        <w:t>E. 2.2.2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Kuhn/Jeanneret [éd.], Commentaire romand, Code de procédure pénale suisse, Bâle 2019, nn. 1 s.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w:t>
      </w:r>
    </w:p>
    <w:p>
      <w:r>
        <w:t>- 6 - matière ne peuvent être prononcés par le Ministère public que lorsqu’il apparaît clairement que les faits ne sont pas punissables ou que les conditions à la poursuite pénale ne sont pas remplies (TF 6B_375/2020 du 9 juillet 2020 consid. 3.2 et réf. cit.).</w:t>
      </w:r>
    </w:p>
    <w:p>
      <w:r>
        <w:rPr>
          <w:b/>
        </w:rPr>
        <w:t>E. 2.3</w:t>
      </w:r>
    </w:p>
    <w:p>
      <w:r>
        <w:t>Dans le cas présent, la recourante formule beaucoup d’appréciations, exprimant son ressenti, mais elle n’allègue factuellement pas un seul acte de la présidente M.________ qui ne s’inscrive dans les dispositions et mesures que le juge du divorce peut être légalement amené à prendre. Elle lui reproche d’avoir mal constaté les faits et d’avoir mal appliqué le droit, mais non d’avoir pris des décisions que la loi ne prévoit pas. L’attribution de l’autorité parentale et de la garde à un seul parent est prévue par la loi, à des conditions dont les explications données par la recourante ne permettent pas d’exclure d’emblée, de sorte qu’un abus d’autorité au sens de l’art. 312 CP n’entre pas en considération. L’argumentation de la recourante repose sur la présupposée que la présidente aurait mal constaté les faits et mal appliqué la loi dans le dessein de lui nuire. La plainte ne comporte toutefois pas la moindre explication, ni la moindre allégation de fait concrète, qui permettrait d’avoir le début d’un soupçon d’un tel dessein. C’est dès lors à bon droit que le Procureur général a refusé d’ouvrir une instruction pénale pour abus d’autorité.</w:t>
      </w:r>
    </w:p>
    <w:p>
      <w:r>
        <w:rPr>
          <w:b/>
        </w:rPr>
        <w:t>E. 2.4</w:t>
      </w:r>
    </w:p>
    <w:p>
      <w:r>
        <w:t>Il en va de même pour tous les autres chefs de prévention pour lesquels la recourante voudrait voir ouvrir une instruction pénale contre la présidente M.________. La recourante n’a fourni aucune précision sur des propos de celle-ci qui permettraient de soupçonner une atteinte à l’honneur, des menaces ou une autre infraction pénale. Au demeurant, la plainte ne comporte aucune explication dont on pourrait inférer que la présidente M.________ aurait peut-être agi sans avoir la conviction de faire son devoir.</w:t>
      </w:r>
    </w:p>
    <w:p>
      <w:r>
        <w:t>- 7 - Sous cet angle également, c’est dès lors à bon droit que le Procureur général a refusé d’entrer en matière.</w:t>
      </w:r>
    </w:p>
    <w:p>
      <w:r>
        <w:rPr>
          <w:b/>
        </w:rPr>
        <w:t>E. 3</w:t>
      </w:r>
    </w:p>
    <w:p>
      <w:r>
        <w:t>Il s’ensuit que le recours, manifestement mal fondé, doit être rejeté sans échange d’écritures (art. 390 al. 2 CPP) et que l’ordonnance de non-entrée en matière querellée doit être confirmée. Les frais de la procédure de recours, par 770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de non-entrée en matière du 6 août 2020 est confirmée. III. Les frais d’arrêt, par 770 fr. (sept cent septante francs), sont mis à la charge de G.________. IV. Le montant de 550 fr. (cinq cent cinquante francs) déjà versé par G.________ à titre de sûretés est compensé avec les frais mis à la charge de celle-ci, selon chiffre III ci-dessus. V. L’arrêt est exécutoire. La vice-présidente : Le greffier :</w:t>
      </w:r>
    </w:p>
    <w:p>
      <w:r>
        <w:t>- 8 - Du Le présent arrêt, dont la rédaction a été approuvée à huis clos, est notifié, par l'envoi d'une copie complète, à : - G.________, - M. le Procureur général du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