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PE20.009883 vom 16. Mai 2023</w:t>
      </w:r>
    </w:p>
    <w:p>
      <w:r>
        <w:t>VD Tribunal cantonal, 2023-05-16, FR</w:t>
      </w:r>
    </w:p>
    <w:p>
      <w:r>
        <w:rPr>
          <w:b/>
        </w:rPr>
        <w:t xml:space="preserve">Quelle: </w:t>
      </w:r>
      <w:r>
        <w:t>https://mcp.opencaselaw.ch/entscheid/vd_gerichte_PE20.009883</w:t>
      </w:r>
    </w:p>
    <w:p>
      <w:r>
        <w:t>FR: VD_GERICHTE PE20.009883 du 16 mai 2023</w:t>
      </w:r>
    </w:p>
    <w:p>
      <w:r>
        <w:t>IT: VD_GERICHTE PE20.009883 del 16 maggio 2023</w:t>
      </w:r>
    </w:p>
    <w:p>
      <w:pPr>
        <w:pStyle w:val="Heading2"/>
      </w:pPr>
      <w:r>
        <w:t>Erwägungen</w:t>
      </w:r>
    </w:p>
    <w:p>
      <w:r>
        <w:rPr>
          <w:b/>
        </w:rPr>
        <w:t>E. 15</w:t>
      </w:r>
    </w:p>
    <w:p>
      <w:r>
        <w:t>:30 »). De même, il ressort notamment de la dénonciation pénale établie par la DGEJ le 18 juin 2020 (P. 4) que des « [m]arques de coups sur les oreilles de deux des trois enfants » ont été constatées. Il appert d’ailleurs des pièces du dossier que même la mère des enfants a constaté des lésions sur sa fille F.A.________, laquelle boîtait après avoir été corrigée par son père, en raison du feu allumé sur le balcon (P. 37 ; Signalement de l’école de [...] du 28 août 2019 - « Déroulement de la rencontre du 28 août 2019 au sujet des enfants [...]»). Il est enfin relevé que les récits des enfants sont également corroborés par les troubles du comportement constatés (pleurs en classe, fatigue, crises, peur d’être laissés seuls, terreurs nocturnes notamment) qui démontrent encore, si nécessaire, la réalité des mauvais traitements. Ces constats ne reposent donc pas sur des impressions subjectives de l’autorité de première instance, mais bien sur des constats objectifs de tiers qualifiés (enseignants, éducateurs et autorité de protection de l’enfance). Quant aux certificats médicaux invoqués (P. 30 à 32), le premier émane d’une médecin qui ne connaît pas les enfants et qui a communiqué des informations très générales sur leur suivi pédiatrique, sur la base du dossier de son confrère et d’un téléphone avec ce dernier (P. 30). Le deuxième a été établi par le chef de pédiatrie du CHUV et concerne uniquement les consultations en urgence à l’hôpital pour des pathologies simples, soit par exemple les otites et les bronchites (P. 31) et le dernier émane d’une pédiatre qui n’a jamais rencontré les enfants (P. 32). Rien dans ces constats ne permet donc d’infirmer ceux effectués dans un contexte social ou scolaire et le fait que les pédiatres, lors de contrôles de</w:t>
      </w:r>
    </w:p>
    <w:p>
      <w:r>
        <w:t>- 17 - santé, n’aient rien remarqué ne remet pas en question l’ensemble des autres éléments probatoires évoqués ci-dessus. Au vu de ce qui précède, les faits ont donc été retenus sans violation de la présomption d’innocence. 5. 5.1 L’appelant invoque ensuite une violation des art. 123 ch. 1 et 2 al. 2 CP. Il se prévaut de l’absence de constats médicaux permettant de mettre en lien la marque sur le pied de l’enfant F.A.________ et une prétendue maltraitance. En outre, il indique que les purges imposées aux enfants correspondaient à des actes « à caractère médical ». 5.2 Selon l’art. 123 ch. 1 aCP, applicable en l’espèce dès lors que le nouveau droit n’est pas plus favorable au prévenu (cf. art. 2 CP), est puni pour lésions corporelles simples celui qui, intentionnellement, aura fait subir à une personne une autre atteinte à l’intégrité corporelle ou à la santé que celles prévues à l’art. 122 CP. L’art. 123 ch. 2 al. 2 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w:t>
      </w:r>
    </w:p>
    <w:p>
      <w:r>
        <w:t>- 18 -</w:t>
      </w:r>
    </w:p>
    <w:p>
      <w:r>
        <w:rPr>
          <w:b/>
        </w:rPr>
        <w:t>E. 18</w:t>
      </w:r>
    </w:p>
    <w:p>
      <w:r>
        <w:t>juin 2024 consid. 2.1.1 ; TF 6B_964/2023 du 17 avril 2024 consid. 4.1, non publié in ATF 150 IV 121). L’art. 123 CP protège non seulement l’intégrité corporelle et la santé physique, mais aussi la santé psychique (cf. ATF 134 IV 189 précité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 5.3 En réalité, l’appelant se fonde sur un autre état de fait que celui retenu en invoquant la seule blessure au pied de F.A.________ et en se prévalant à nouveau de l’absence de constat médical. En effet, selon les faits retenus (cf. supra let. C, ch. 2.1), les enfants ont souffert de coups de ceinture, d’entailles dans le dos provoquant des saignements, de coups assénés avec la main, les pieds ou au moyen de divers objets (ustensiles de cuisine, appareils téléphoniques et chaussures notamment), alors qu’ils étaient parfois obligés de se ternir en pièce droite pendant les sévices ou</w:t>
      </w:r>
    </w:p>
    <w:p>
      <w:r>
        <w:t>- 19 - alors obligés de compter durant des heures avant le coucher. D’une manière générale, les enfants ont gravement souffert sur le plan psychique et subi de graves atteintes sous les formes évoquées ci-dessus, de sorte que les mauvais traitements infligés constituaient indéniablement des lésions corporelles. A cela s’ajoute que les purges forcées, traumatisantes, ne trouvent évidemment aucune justification sur le plan médical. Au vu de ce qui précède, A.A.________ doit être condamné pour lésions corporelles simples qualifiées. 6. 6.1 L’appelant conteste également sa condamnation pour violation du devoir d’assistance ou d’éducation. Il prétend qu’une mise en danger durable du développement des enfants n’est pas démontrée. 6.2 Selon l’art. 219 aCP, applicable en l’espèce dès lors que le nouveau droit n’est pas plus favorable au prévenu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(ATF 149 IV 240 consid. 2.2 et la référence citée).</w:t>
      </w:r>
    </w:p>
    <w:p>
      <w:r>
        <w:t>- 20 -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(idem et la référence citée). 6.3 En l’espèce, il n’est pas contesté que A.A.________ avait une position de garant envers ses six enfants. Toutefois, à nouveau, l’appelant s’écarte de l’état de fait retenu, en plaidant que le développement de ses enfants n’aurait pas été mis concrètement en danger. En effet, il est établi que les enfants ont subi des sévices de manière répétée et sur une longue période. Le climat de terreur que l’appelant a fait régner a entraîné des répercussions concrètes constatées par les différents intervenants</w:t>
      </w:r>
    </w:p>
    <w:p>
      <w:r>
        <w:t>- 21 - sociaux, à savoir des pleurs en classe, de la fatigue, des crises, de la peur d’être laissés seuls, des terreurs nocturnes et des violences verbales et physiques envers leurs camarades, voire les adultes notamment. Celles-ci constituent à l’évidence une atteinte durable au développement des enfants. Sur le plan subjectif, l’appelant, en raison de la durée, de l’ampleur et de la diversité des mauvais traitements infligés ne pouvait ignorer les dégâts physiques et psychiques qu’il causait. Partant, c’est à juste titre que le premier juge a considéré que les éléments objectifs et subjectifs définis à l’art. 219 CP étaient réalisés. La condamnation de l’appelant pour violation du devoir d’assistance ou d’éducation doit donc être confirmée. 7. 7.1 L’appelant conteste sa condamnation pour escroquerie. Il se prévaut de l’absence d’astuce de son comportement. 7.2 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w:t>
      </w:r>
    </w:p>
    <w:p>
      <w:r>
        <w:t>- 22 -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 ATF 135 IV 76 consid. 5.2). Il y a notamment manœuvre frauduleuse lorsque l’auteur fait usage de titres falsifiés ou obtenus sans droit ou de documents mensongers (ATF 128 IV 18 consid. 3a ; TF 6B_1092/2023 du 24 mai 2024 consid. 2.2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Sur le plan objectif, la réalisation de l’escroquerie suppose donc une tromperie, une astuce, une induction en erreur, un acte de disposition et un dommage, ainsi qu’un lien de causalité entre les éléments qui précèdent (Dupuis et al. [éd.], Code pénal, Petit commentaire, 2e éd., Bâle 2017, n. 1 ad art. 146 CP). L’escroquerie implique en effet que l’erreur ait déterminé la dupe à disposer de son patrimoine. Il faut ainsi un acte de disposition effectué par la dupe et un lien de motivation entre cet acte et l’erreur (ATF 128 IV 255 consid. 2e/aa ; TF 6B_290/2021 du 4 mai 2022 consid. 2.1). 7.3 En l’espèce, l’astuce réside clairement dans l’usage de plusieurs faux qui ont induit la victime – le bailleur – en erreur, dès lors</w:t>
      </w:r>
    </w:p>
    <w:p>
      <w:r>
        <w:t>- 23 - qu’elle s’est faite une représentation erronée de la solvabilité du locataire. Cette tromperie est d’autant plus astucieuse que l’appelant lui a produit un extrait du registre des poursuites falsifié. Le bailleur ne pouvait donc douter de la véracité des documents produits, de sorte que la condition de l’astuce est réalisée. Partant, c’est à juste titre que le tribunal a considéré que les éléments objectifs et subjectifs définis à l’art. 146 al. 1 CP étaient réalisés. La condamnation de l’appelant pour escroquerie doit donc être confirmée. 8. 8.1 L’appelant invoque une violation de la maxime d’accusation. Il fait valoir que les infractions antérieures au mois d’août 2019 ne seraient pas suffisamment décrites dans l’acte d’accusation. 8.2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7B_108/2023 du 11 septembre 2024 consid. 3.2).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 3 let. a CEDH (droit d’être informé de la nature et de la cause de l’accusation ; TF 7B_108/2023 précité ;</w:t>
      </w:r>
    </w:p>
    <w:p>
      <w:r>
        <w:t>- 24 - TF 6B_997/2023 du 28 mars 2024 consid. 2.1 ; TF 6B_836/2023 du 18 mars 2024 consid. 1.1). 8.3 L’appelant se trompe lorsqu’il fait remonter les premiers faits délictueux au 4 mai 2012, dans la mesure où le premier juge a considéré que les faits antérieurs au 8 mai 2013 étaient prescrits. Si l’acte d’accusation fait uniquement état de soupçons d’appartenance à un groupe religieux, il indique en revanche de manière très claire qu’entre le 8 mai 2013 et le 18 juin 2020 l’appelant a régulièrement fait preuve de violence physique envers ses enfants et fait état de nombreux sévices dans le détail, sur l’ensemble des faits décrits ci-dessus au ch. 2.1 (let. C). On ne discerne donc aucune violation de la maxime d’accusation. Le fait que l’acte d’accusation précise que l’enquête des services de protection de la jeunesse ait été clôturée dans un premier temps en 2017, pour être ensuite reprise, ne concerne que l’appréciation des preuves et le premier juge n’était aucunement lié par l’appréciation faite par une autorité administrative. Le moyen doit donc être rejeté. 9. 9.1 L’appelant ne critique pas la quotité de la peine prononcée. Celle-ci sera néanmoins examinée d’office. 9.2 9.2.1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9.2.2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w:t>
      </w:r>
    </w:p>
    <w:p>
      <w:r>
        <w:t>- 26 - doivent être prononcées cumulativement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consid. 1.3 ; ATF 142 IV 265 et les références citées). 9.3 Le premier juge a considéré que la culpabilité d’A.A.________ était importante, notamment s’agissant des coups infligés à ses jeunes enfants. Ceux-ci étaient frappés régulièrement, parfois avec différents objets, comme des ceintures, des cordons électriques ou des ustensiles de cuisine, et les coups donnés étaient violents. Les enfants devaient d’ailleurs subir encore des lavements hebdomadaires. A charge, il a été retenu les antécédents judiciaires de l’appelant et le fait qu’il tombait également sous la circonstance aggravante du concours d’infractions. Cette appréciation peut être partagée. En effet, l’appelant n’a démontré aucune prise de conscience de la gravité de ses actes et a notamment toujours nié avoir donné des coups à ses enfants, à l’exception</w:t>
      </w:r>
    </w:p>
    <w:p>
      <w:r>
        <w:t>- 27 - d’une occasion, et a justifié les purges hebdomadaires comme étant des actes médicaux. Au vu de tous ces éléments et pour des motifs de prévention spéciale, seule une peine privative de liberté est susceptible de réprimer les comportements de l’appelant. Là où la loi le prévoit, il faut prononcer une peine privative de liberté pour des motifs de prévention spéciale, vu les nombreuses réitérations d’infractions. Il s’agit d’une peine complémentaire à trois condamnations totalisant 300 jours de peine privative de liberté. Si un seul juge avait connu l’ensemble des infractions commises entre les mois de mai 2013 et de décembre 2020, il aurait prononcé une peine privative de liberté de 22 mois qui se décompose comme suit : l’infraction de lésions corporelles doit valoir la peine de base de 10 mois, augmentée de 4 mois pour violation du devoir d’assistance ou d’éducation, 3 mois pour enlèvement de mineur, 1 mois pour escroquerie, 2 mois pour faux dans les titres et 2 mois pour les infractions LEI. La peine complémentaire doit ainsi être arrêtée à 12 mois. S’agissant du prononcé d’un sursis, A.A.________ ne remplit ni les conditions objectives, ni celles subjectives liées à son octroi. En effet, il a été condamné à une peine privative de liberté de 180 jours en 2017 et n’a pas pris conscience de la gravité de son comportement à l’égard de ses enfants. La peine privative de liberté prononcée sera donc ferme. 10. 10.1 L’appelant conteste enfin la durée de son expulsion facultative et estime qu’une expulsion de 3 ans serait justifiée. 10.2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w:t>
      </w:r>
    </w:p>
    <w:p>
      <w:r>
        <w:t>- 28 -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 ATF 139 I 31 consid. 2.3.3 ; TF 6B_1398/2022 précité). 10.3 En l’espèce, les faits imputés au prévenu sont graves. Il lui est reproché d’avoir infligé des sévices corporels à de nombreuses reprises, principalement à trois de ses six enfants, de les avoir enlevés alors que ceux-ci faisaient l’objet d’une mesure de protection, d’avoir produit de faux documents pour conclure un contrat de bail et d’avoir persisté à séjourner en Suisse alors qu’il ne disposait d’aucune autorisation. De plus, le prévenu a été condamné à quatre reprises entre 2016 et 2019 à des peines privatives de liberté et à une peine pécuniaire, ce qui démontre un mépris total pour l’ordre juridique suisse. Dès lors, l’expulsion du territoire suisse pour une durée de 5 ans est adéquate, au vu de l’absence d’attaches de l’appelant avec la Suisse et des atteintes significatives à l’ordre public suisse. 11. En définitive, l’appel doit être rejeté et le jugement attaqué confirmé. Me Joëlle Manca, défenseur d’office d’A.A.________, a produit une liste des opérations faisant état de 7 heures et 25 minutes d’activité, laquelle peut être admise. C’est donc une indemnité pour la procédure d’appel d’un montant de 1’472 fr., correspondant à 7 heures et 25 minutes d’activité d’avocat breveté au tarif horaire de 180 fr. (art. 2 al. 1</w:t>
      </w:r>
    </w:p>
    <w:p>
      <w:r>
        <w:t>- 29 - let. a RAJ [règlement du 7 décembre 2010 sur l’assistance judiciaire en matière civile ; BLV 211.02.3], applicable par renvoi de l’art. 26b TFIP [tarif des frais de procédure et indemnités en matière pénale du 28 septembre 2010 ; BLV 312.03.1]), plus 26 fr. 70 de débours (2% des honoraires ; art. 3bis al. 1 RAJ par renvoi de l’art. 26b TFIP), plus 110 fr. 30 de TVA (8,1%), qui sera allouée à Me Joëlle Manca. Vu l’issue de la cause, les frais de la procédure d’appel, par 4'442 fr., constitués de l’émolument de jugement, par 2’970 fr. (art. 21 al. 1 et 2 TFIP [tarif des frais de procédure et indemnités en matière pénale du 28 septembre 2010 ; BLV 312.03.1]), et de l’indemnité allouée à son défenseur d’office, par 1’472 fr., seront mis à la charge d’A.A.________, qui succombe (art. 428 al. 1 CPP). A.A.________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