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PE20.009760 vom 25. Juni 2021</w:t>
      </w:r>
    </w:p>
    <w:p>
      <w:r>
        <w:t>VD Tribunal cantonal, 2021-06-25, FR</w:t>
      </w:r>
    </w:p>
    <w:p>
      <w:r>
        <w:rPr>
          <w:b/>
        </w:rPr>
        <w:t xml:space="preserve">Quelle: </w:t>
      </w:r>
      <w:r>
        <w:t>https://mcp.opencaselaw.ch/entscheid/vd_gerichte_PE20.009760</w:t>
      </w:r>
    </w:p>
    <w:p>
      <w:r>
        <w:t>FR: VD_GERICHTE PE20.009760 du 25 juin 2021</w:t>
      </w:r>
    </w:p>
    <w:p>
      <w:r>
        <w:t>IT: VD_GERICHTE PE20.009760 del 25 giugno 2021</w:t>
      </w:r>
    </w:p>
    <w:p>
      <w:pPr>
        <w:pStyle w:val="Heading2"/>
      </w:pPr>
      <w:r>
        <w:t>Erwägungen</w:t>
      </w:r>
    </w:p>
    <w:p>
      <w:r>
        <w:rPr>
          <w:b/>
        </w:rPr>
        <w:t>E. 1</w:t>
      </w:r>
    </w:p>
    <w:p>
      <w:r>
        <w:t>Les parties peuvent attaquer une ordonnance de non- 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t>- 5 - En l’espèce, le recours a été interjeté en temps utile et dans les formes prescrites auprès de l’autorité compétente, par la partie plaignante qui a qualité pour recourir (art. 382 al. 1 CPP). Il est donc recevable.</w:t>
      </w:r>
    </w:p>
    <w:p>
      <w:r>
        <w:rPr>
          <w:b/>
        </w:rPr>
        <w:t>E. 2</w:t>
      </w:r>
    </w:p>
    <w:p>
      <w:r>
        <w:t>CPP). Il ressort également de l'art. 309 al. 1 let. a CPP que le Ministère public peut procéder à ses propres constatations (TF 6B_1365/2017 du 27 juin 2018 consid. 3.3 ; TF 6B_431/2013 du 18 décembre 2013 consid. 2.2 ; TF 1B_526/2012 du 24 juin 2013 consid. 2.2). Cela comprend le droit de consulter les fichiers, dossiers et renseignements disponibles. Il en va de même lorsque le ministère public demande à la personne mise en cause une simple prise de position (TF 6B_1365/2017 précité consid. 3.3). Il ne peut en revanche ordonner des mesures de contrainte sans ouvrir une instruction (art. 309 al. 1 let. b CPP ; TF 1B_526/2012 du 24 juin 2013 consid. 2.2).</w:t>
      </w:r>
    </w:p>
    <w:p>
      <w:r>
        <w:rPr>
          <w:b/>
        </w:rPr>
        <w:t>E. 2.1</w:t>
      </w:r>
    </w:p>
    <w:p>
      <w:r>
        <w:t>Dans un premier moyen, la recourante relève que la procureure ne pouvait rendre une ordonnance de non-entrée en matière après avoir entendu personnellement le médecin comme PADR, mais qu’elle devait plutôt rendre une ordonnance de classement. Elle explique contester plusieurs explications données par son ancien médecin-traitant. Elle invoque une violation de la maxime de l’instruction d’office, ainsi que de l’art. 310 CPP et du principe in dubio pro duriore.</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w:t>
      </w:r>
    </w:p>
    <w:p>
      <w:r>
        <w:t>- 6 -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w:t>
      </w:r>
    </w:p>
    <w:p>
      <w:r>
        <w:rPr>
          <w:b/>
        </w:rPr>
        <w:t>E. 2.3.1</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t>- 7 - L’infraction de lésions corporelles par négligence consiste dans le fait de causer à autrui, par négligence, des lésions corporelles au sens des art. 122 ou 123 CP. Elle est réalisée lorsque trois éléments constitutifs sont réunis : une négligence, soit une violation des devoirs de la prudence, commise par l'auteur ; des lésions corporelles subies par la victime ; un lien de causalité naturelle et adéquate entre la négligence et les lésions (Corboz, Les infractions en droit suisse, vol. I, 3e éd., Berne 2010, nn. 2 à 7 ad art. 125 CP ; Dupuis et al. [éd.], Petit commentaire du Code pénal, 2e éd., Bâle 2017, n. 2 ad art. 125 CP). Il s'agit d'une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 ATF 133 IV 158 consid. 5.1 ; ATF 113 IV 68 consid. 5 ; CREP 1er mai 2015/298). Selon la jurisprudence,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135 IV 56 consid. 2.1, JdT 2010 IV 43 ; TF 6B_1148/2018 du 6 décembre 2018 consid. 2.1).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 TF 6B_631/2018 du 24 octobre 2018 consid. 1.1).</w:t>
      </w:r>
    </w:p>
    <w:p>
      <w:r>
        <w:rPr>
          <w:b/>
        </w:rPr>
        <w:t>E. 2.3.2</w:t>
      </w:r>
    </w:p>
    <w:p>
      <w:r>
        <w:t>Selon la jurisprudence, la particularité de l'art médical réside dans le fait que le médecin doit, avec ses connaissances et ses capacités, tendre vers le résultat désiré, mais n'a pas l'obligation de l'atteindre ou</w:t>
      </w:r>
    </w:p>
    <w:p>
      <w:r>
        <w:t>- 8 -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p. 11 s. et les références citées, JdT 2004 I 497 ; TF 6B_1287/2018 du 11 mars 2019 consid. 1.1 ; ATF 133 III 121 consid. 3.1 p. 124 ; cf. de même, également en matière civile, TF 4A_267/2014 du 8 octobre 2014 consid. 3).</w:t>
      </w:r>
    </w:p>
    <w:p>
      <w:r>
        <w:rPr>
          <w:b/>
        </w:rPr>
        <w:t>E. 2.4.1</w:t>
      </w:r>
    </w:p>
    <w:p>
      <w:r>
        <w:t>En l’occurrence, la procureure a auditionné le Dr M.________ le</w:t>
      </w:r>
    </w:p>
    <w:p>
      <w:r>
        <w:rPr>
          <w:b/>
        </w:rPr>
        <w:t>E. 2.4.2</w:t>
      </w:r>
    </w:p>
    <w:p>
      <w:r>
        <w:t>S’agissant des indices de la commission d’une infraction pénale et de l’ouverture formelle d’une instruction, le fait pour un médecin de ne procéder à aucun examen corporel alors que sa patiente se plaint, depuis plusieurs années, de prise de poids au niveau abdominal et de divers maux est un indice de manque de diligence. En outre, le fait que le nouveau médecin consulté par la plaignante ait immédiatement, à la palpation, localisé la tumeur, constitue un autre indice. On constate également que la masse retrouvée a été qualifiée de « géante » et que l’opération a eu de graves conséquences sur la patiente qui, en plus de deux cicatrices importantes au niveau du ventre, a subi l’ablation d’un rein, d’un ovaire et d’une partie de son côlon. Enfin, le fait que le médecin n’avait pas assez d’éléments pour procéder à un examen corporel puisque</w:t>
      </w:r>
    </w:p>
    <w:p>
      <w:r>
        <w:t>- 9 - la patiente se plaignait de prise de poids et d’angoisses paraît douteux au vu du dossier médical de l’intéressée, qui devra être soumis à un expert. Par conséquent, en l’état, il n’est pas possible d’exclure que les faits objets de la plainte réalisent les conditions de l’infraction de lésions corporelles graves, subsidiairement simples, par négligence. Il convient donc d’ouvrir une instruction pénale en vue de procéder, en particulier, à une expertise médicale. 3. Au vu de ce qui précède, le recours doit être admis et l'ordonnance annulée. Le dossier de la cause doit ainsi être renvoyé au Ministère public de l’arrondissement de Lausanne pour qu’il procède dans le sens des considérants. Les frais de la procédure de recours, constitués en l’espèce de l’émolument d'arrêt, par 990 fr (art. 20 al. 1 TFIP [tarif des frais de procédure et indemnités en matière pénale du 28 septembre 2010 ; BLV 312.03.1]), seront laissés à la charge de l’Etat (art. 428 al. 1 CPP). Le recourante, qui a procédé avec l’assistance d’un avocat de choix et qui a obtenu gain de cause, a droit à une indemnité pour la procédure de recours (art. 436 al. 1 et 433 al. 1 CPP). Au vu du mémoire produit, cette indemnité sera fixée à 1’200 fr., correspondant à 4 heures d’activité au tarif horaire d’avocat de 300 fr. (art. 26a al. 3 TFIP), plus des débours forfaitaires à 2 %, par 24 fr., plus la TVA à 7,7 %, par 94 fr. 25, ce qui représente un total en chiffres arrondis de 1’319 francs. Elle sera laissée à la charge de l’Etat. Par ces motifs, la Chambre des recours pénale prononce : I. Le recours est admis. II. L’ordonnance du 6 janvier 2021 est annulée.</w:t>
      </w:r>
    </w:p>
    <w:p>
      <w:r>
        <w:t>- 10 - III. Le dossier de la cause est renvoyé au Ministère public de l’arrondissement de l’Est vaudois pour qu’il procède dans le sens des considérants. IV. Les frais d’arrêt, par 990 fr. (neuf cent nonante francs), sont laissés à la charge de l’Etat. V. Une indemnité de 1’319 fr. (mille trois cent dix-neuf francs) est allouée à A.________ pour les dépenses occasionnées par la procédure de recours, à la charge de l’Etat. VI. L’arrêt est exécutoire. Le président : La greffière : Du Le présent arrêt, dont la rédaction a été approuvée à huis clos, est notifié, par l'envoi d'une copie complète, à : - Me Alexandre Guyaz, avocat (pour A.________), - Ministère public central, et communiqué à : - Mme la procureure de l’arrondissement de l’Est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octobre 2020. Si la magistrate peut déléguer des auditions à la police à titre préliminaire, elle ne peut procéder elle-même à des auditions qui impliquent des moyens de contrainte (cf. TF 1385/2019 du 27 février 2020 consid. 1.1) Par conséquent, le recours doit être admis déjà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