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PE20.009533 vom 3. August 2020</w:t>
      </w:r>
    </w:p>
    <w:p>
      <w:r>
        <w:t>VD Tribunal cantonal, 2020-08-03, FR</w:t>
      </w:r>
    </w:p>
    <w:p>
      <w:r>
        <w:rPr>
          <w:b/>
        </w:rPr>
        <w:t xml:space="preserve">Quelle: </w:t>
      </w:r>
      <w:r>
        <w:t>https://mcp.opencaselaw.ch/entscheid/vd_gerichte_PE20.009533</w:t>
      </w:r>
    </w:p>
    <w:p>
      <w:r>
        <w:t>FR: VD_GERICHTE PE20.009533 du 3 août 2020</w:t>
      </w:r>
    </w:p>
    <w:p>
      <w:r>
        <w:t>IT: VD_GERICHTE PE20.009533 del 3 agosto 2020</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w:t>
      </w:r>
    </w:p>
    <w:p>
      <w:r>
        <w:t>- 4 -</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reproche au Ministère public d’avoir considéré que les éléments constitutifs de l’infraction de calomnie, subsidiairement de diffamation, n’étaient pas réalisés en l’espèce. Il fait valoir que le fait de déclarer qu’il aurait souhaité emporter sa fille dans son funeste dessein, en plus d’être faux, serait propre à porter une grave atteinte à sa réputation, en tant que ces propos pourraient être compris par tout destinataire comme une menace de tuer son enfant. Il soutient en outre que le fait d’affirmer qu’il se trouverait en échec relationnel avec ses enfants serait également propre à le faire considérer comme une</w:t>
      </w:r>
    </w:p>
    <w:p>
      <w:r>
        <w:t>- 5 - personne méprisable, en laissant entendre qu’il serait un mauvais parent qui ne s’investirait pas dans le bonheur et l’épanouissement de ses enfants.</w:t>
      </w:r>
    </w:p>
    <w:p>
      <w:r>
        <w:rPr>
          <w:b/>
        </w:rPr>
        <w:t>E. 3.1.2</w:t>
      </w:r>
    </w:p>
    <w:p>
      <w:r>
        <w:t>; CREP 27 octobre 2011/470).</w:t>
      </w:r>
    </w:p>
    <w:p>
      <w:r>
        <w:rPr>
          <w:b/>
        </w:rPr>
        <w:t>E. 3.2</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w:t>
      </w:r>
    </w:p>
    <w:p>
      <w:r>
        <w:t>- 6 -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précité).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références citées).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 TF 6B_512/2017 du 12 février 2018 consid. 3.1 ; TF 1B_368/2012 du 13 mai 2013 consid. 4.2).</w:t>
      </w:r>
    </w:p>
    <w:p>
      <w:r>
        <w:rPr>
          <w:b/>
        </w:rPr>
        <w:t>E. 3.3</w:t>
      </w:r>
    </w:p>
    <w:p>
      <w:r>
        <w:t>En l’espèce, si le fait de dire d’une personne qu’elle a menacé de se suicider ou qu’elle a vécu un échec relationnel avec ses enfants, bien qu’il puisse ternir sa réputation ou ébranler la confiance qu’elle a en elle-même, ne la fait pas passer pour méprisable au sens de la jurisprudence précitée, et ne saurait, de ce fait, être considéré comme une</w:t>
      </w:r>
    </w:p>
    <w:p>
      <w:r>
        <w:t>- 7 - atteinte à l’honneur, il en va autrement de l’assertion selon laquelle le plaignant aurait menacé d’emporter sa fille dans son suicide. En effet, par ces propos, F.________ et T.________ paraissent avoir accusé le recourant d’avoir menacé de tuer son enfant. Cette accusation, ou le soupçon jeté par les assistants sociaux, qui plus est dans le contexte sensible d’une procédure civile visant à déterminer les droits des parents sur leur enfant commun, vise manifestement la commission par C.________ d’une infraction pénale. Ainsi, il semble à ce stade que les propos tenus par F.________ et T.________ dans leur rapport du 2 mars 2020, en tant qu’ils relatent que le recourant a hurlé qu’il allait « emporter sa fille dans son funeste dessein », soient constitutifs d’une atteinte à l’honneur pénalement répréhensible, de sorte que c’est à tort que le Ministère public n’est pas entré en matière sur la plainte de C.________. Il conviendra dès lors que le Ministère public ouvre une instruction, qu’il entende les assistants sociaux et détermine si ceux-ci peuvent, le cas échéant, faire la preuve de la vérité ou de leur bonne foi.</w:t>
      </w:r>
    </w:p>
    <w:p>
      <w:r>
        <w:rPr>
          <w:b/>
        </w:rPr>
        <w:t>E. 4.1.1</w:t>
      </w:r>
    </w:p>
    <w:p>
      <w:r>
        <w:t>Le recourant soutient que les propos tenus par F.________ et T.________ dans leur rapport du 2 mars 2020 pourraient en outre être constitutifs de faux dans les titres (art. 251 CP), d’induction de la justice en erreur (art. 304 CP) et de faux rapport (art. 307 CP).</w:t>
      </w:r>
    </w:p>
    <w:p>
      <w:r>
        <w:rPr>
          <w:b/>
        </w:rPr>
        <w:t>E. 4.1.2</w:t>
      </w:r>
    </w:p>
    <w:p>
      <w:r>
        <w:t>En l’espèce, le Procureur n’a pas examiné, dans l’ordonnance entreprise, la réalisation des différentes dispositions invoquées par le recourant. Dans la mesure où le recours doit être admis pour les motifs exposés au considérant 3.3 ci-dessus et le dossier de la cause retourné au Ministère public pour qu’il ouvre une instruction contre F.________ et T.________ pour diffamation, voire calomnie, il incombera également au Procureur d’examiner si les éléments constitutifs des infractions de faux dans les titres, d’induction de la justice en erreur et de faux rapport sont réalisés. A cet égard, il y a lieu de relever que si l’infraction de faux dans</w:t>
      </w:r>
    </w:p>
    <w:p>
      <w:r>
        <w:t>- 8 - les titres exige un dessein spécial dont aucun indice ne laisse à ce stade présumer la réalisation, et que le recourant ne semble pas pouvoir se prévaloir d’une éventuelle induction de la justice en erreur au sens de l’art. 304 CP – cette disposition ayant pour but la protection exclusive de la justice pénale à défaut des intérêts privés –, il est à ce stade impossible d’exclure que les deux assistants sociaux mis en cause se soient rendus coupables de l’infraction de faux rapport au sens de l’art. 307 CP.</w:t>
      </w:r>
    </w:p>
    <w:p>
      <w:r>
        <w:rPr>
          <w:b/>
        </w:rPr>
        <w:t>E. 4.2</w:t>
      </w:r>
    </w:p>
    <w:p>
      <w:r>
        <w:t>L’art. 307 CP punit celui qui, étant témoin, expert, traducteur ou interprète en justice, aura fait une déposition fausse sur les faits de la cause, fourni un constat ou un rapport faux, ou fait une traduction fausse. Cette disposition réprime une mise en danger abstraite de la recherche de la vérité ; il n’est pas nécessaire, pour que l’infraction soit consommée, que le juge ait été influencé (Corboz, Les infractions en droit suisse, vol. II, 3e éd., Berne 2010, nn. 3-4 ad art. 307 CP). Cette disposition a pour but de protéger l’administration de la justice et, de manière secondaire, les intérêts privés (ATF 122 IV 197 consid. 1, JdT 1997 IV 145 ; TF 6B_243/2015 du 12 juin 2015 consid. 2.1, SJ 2016 I 125). L'infraction suppose que l'auteur soit intervenu en l'une des qualités mentionnées par l’art. 307 CP, soit comme témoin, expert, traducteur ou interprète. Il faut encore, pour que cette infraction soit objectivement réalisée, que l'auteur ait donné une fausse information et que celle-ci ait trait aux faits de la cause (Corboz, op. cit., nn. 30 ss ad art. 307 CP). Ne sont pas des déclarations sur les faits de la cause les opinions, les jugements de valeur, les suppositions et les pures appréciations (Dupuis et al. [éd.], Petit commentaire, Code pénal, 2e éd., Bâle 2017, n. 13 ad art. 306 CP et n. 16 ad art. 307 CP ;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w:t>
      </w:r>
    </w:p>
    <w:p>
      <w:r>
        <w:t>- 9 - en cette qualité ne correspond pas à la vérité objective (CREP 18 décembre 2019/1022 consid. 3.2.2 ; CREP 26 juillet 2018/564 consid.</w:t>
      </w:r>
    </w:p>
    <w:p>
      <w:r>
        <w:rPr>
          <w:b/>
        </w:rPr>
        <w:t>E. 4.3</w:t>
      </w:r>
    </w:p>
    <w:p>
      <w:r>
        <w:t>En l’espèce, mandat a été donné au SPJ d’établir un rapport à l’attention du Tribunal d’arrondissement de Lausanne dans le cadre d’une procédure civile pendante devant cette autorité. Or, comme le relève le Ministère public dans l’ordonnance entreprise, certains passages dudit rapport semblent à ce stade erronés, de sorte qu’il n’est pas exclu que les éléments constitutifs de l’infraction de faux rapport soient réalisés.</w:t>
      </w:r>
    </w:p>
    <w:p>
      <w:r>
        <w:rPr>
          <w:b/>
        </w:rPr>
        <w:t>E. 5</w:t>
      </w:r>
    </w:p>
    <w:p>
      <w:r>
        <w:t>Il résulte de ce qui précède que le recours doit être admis et l’ordonnance attaquée annulée. Le dossier de la cause sera renvoyé au Ministère public pour qu’il ouvre une instruction pénale et procède dans le sens des considérants. Vu l’admission du recours, les frais de la procédure, constitués en l'espèce du seul émolument d'arrêt, par 990 fr. (art. 20 al. 1 TFIP [Tarif des frais de procédure et indemnités en matière pénale du 28 septembre 2010 ; BLV 312.03.1]), seront laissés à la charge de l'Etat (art. 428 al. 4 CPP). Le recourant, qui a procédé avec l’assistance d’un avocat de choix et qui a obtenu gain de cause, a droit, de la part de l’Etat, à une indemnité pour les dépenses occasionnées par la procédure de recours. Au vu du mémoire produit et de la nature de l’affaire, cette indemnité sera fixée à 750 fr. (correspondant à 2 h 30 d’activité d’avocat au tarif horaire de 300 fr.), montant auquel il convient d’ajouter des débours forfaitaires à concurrence de 2 % des honoraires admis, par 15 fr., plus la TVA au taux de 7,7 %, par 58 fr. 90, soit à 823 fr. 90 au total, montant arrondi à 824 francs. Dans la mesure où les frais de la procédure sont laissés à la charge de l’Etat et où une indemnité est allouée au recourant pour les dépenses occasionnées par la procédure de recours, la requête</w:t>
      </w:r>
    </w:p>
    <w:p>
      <w:r>
        <w:t>- 10 - d’assistance judiciaire gratuite pour la procédure de recours est sans objet (CREP 14 novembre 2017/773 consid. 3 ; CREP 7 novembre 2017/748 consid. 3). Par ces motifs, la Chambre des recours pénale prononce : I. Le recours est admis. II. L’ordonnance du 18 juin 2020 est annulée. III. Le dossier de la cause est renvoyé au Ministère public de l’arrondissement de Lausanne pour qu’il procède dans le sens des considérants. IV. La requête d’assistance judiciaire est sans objet. V. Les frais d’arrêt, par 990 fr. (neuf cent nonante francs), sont laissés à la charge de l’Etat. VI. Une indemnité d’un montant de 824 fr. (huit cent vingt-quatre francs) est allouée à C.________ pour la procédure de recours, à la charge de l’Etat. VII. L’arrêt est exécutoire. Le président : La greffière : Du Le présent arrêt, dont la rédaction a été approuvée à huis clos, est notifié, par l'envoi d'une copie complète, à : - Me Aurore Estoppey, avocate (pour C.________), - Ministère public central,</w:t>
      </w:r>
    </w:p>
    <w:p>
      <w:r>
        <w:t>- 11 -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