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PE20.009381 vom 24. August 2020</w:t>
      </w:r>
    </w:p>
    <w:p>
      <w:r>
        <w:t>VD Tribunal cantonal, 2020-08-24, FR</w:t>
      </w:r>
    </w:p>
    <w:p>
      <w:r>
        <w:rPr>
          <w:b/>
        </w:rPr>
        <w:t xml:space="preserve">Quelle: </w:t>
      </w:r>
      <w:r>
        <w:t>https://mcp.opencaselaw.ch/entscheid/vd_gerichte_PE20.009381</w:t>
      </w:r>
    </w:p>
    <w:p>
      <w:r>
        <w:t>FR: VD_GERICHTE PE20.009381 du 24 août 2020</w:t>
      </w:r>
    </w:p>
    <w:p>
      <w:r>
        <w:t>IT: VD_GERICHTE PE20.009381 del 24 agosto 2020</w:t>
      </w:r>
    </w:p>
    <w:p>
      <w:pPr>
        <w:pStyle w:val="Heading2"/>
      </w:pPr>
      <w:r>
        <w:t>Erwägungen</w:t>
      </w:r>
    </w:p>
    <w:p>
      <w:r>
        <w:rPr>
          <w:b/>
        </w:rPr>
        <w:t>E. 1</w:t>
      </w:r>
    </w:p>
    <w:p>
      <w:r>
        <w:t>Les parties peuvent attaquer une ordonnance de non-entrée en matière rendue par le Ministère public (art. 310 CPP) dans les dix jours devant l’autorité de recours (art. 310 al. 2,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 Interjeté dans le délai légal et dans les formes prescrites (art. 385 al. 1 CPP) auprès de l’autorité compétente, par la partie plaignante qui a qualité pour recourir (art. 382 al. 1 CPP; ATF 140 IV 155 consid. 3.3.1), le recours de G.________ est recevable.</w:t>
      </w:r>
    </w:p>
    <w:p>
      <w:r>
        <w:t>- 5 -</w:t>
      </w:r>
    </w:p>
    <w:p>
      <w:r>
        <w:rPr>
          <w:b/>
        </w:rPr>
        <w:t>E. 2</w:t>
      </w:r>
    </w:p>
    <w:p>
      <w:r>
        <w:t>Conformément à l'art. 310 al. 1 let. a CPP, le Ministère public rend immédiatement – c'est-à-dire sans qu'une instruction soit ouverte (art. 309 al. 1 et 4 CPP; ATF 144 IV 86 consid. 2.3.3) – une ordonnance de non-entrée en matière lorsqu'il apparaît, à réception de la dénonciation (cf. art. 301 et 302 CPP) ou de la plainte (Cornu, in: Kuhn/Jeanneret [éd.], Commentaire romand, Code de procédure pénale suisse, Bâle 2019, nn. 1 et 2 ad art. 310 CPP) ou après une procédure préliminaire limitée aux investigations de la police (art. 300 al. 1 let. a, 306 et 307 CPP), que les éléments constitutifs d'une infraction ou les conditions d'ouverture de l'action pénale ne sont manifestement pas réunis (TF 6B_401/2020 du 13 août 2020 consid. 2.1). Cette disposition doit être appliquée conformément à l’adage « in dubio pro duriore ». Celui-ci, qui découle du principe de la légalité, signifie qu’un classement ou une non-entrée en matière ne peuvent être prononcés par le Ministère public que lorsqu’il apparaît clairement que les faits ne sont pas punissables ou que les conditions à la poursuite pénale ne sont pas remplies (TF 6B_375/2020 du 9 juillet 2020 consid. 3.2 et les références citées). Une ordonnance de non- 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consid. 4.1.2; ATF 137 IV 285 consid. 2.3 et les réf. citées, JdT 2012 IV 160). En revanche, le Ministère public doit pouvoir rendre une ordonnance de non- entrée en matière dans les cas où il apparaît d’emblée qu’aucun acte d’enquête ne pourra apporter la preuve d’une infraction à la charge d’une personne déterminée (TF 6B_375/2020 précité; TF 6B_541/2017 du 20 décembre 2017 consid. 2.2).</w:t>
      </w:r>
    </w:p>
    <w:p>
      <w:r>
        <w:rPr>
          <w:b/>
        </w:rPr>
        <w:t>E. 3</w:t>
      </w:r>
    </w:p>
    <w:p>
      <w:r>
        <w:t>La recourante invoque une violation du principe in dubio pro duriore. Elle soutient que A.N.________ aurait impliqué intensément sa fille dans les conflits parentaux, rendant la séparation extrêmement conflictuelle. Le prévenu se serait attaché à saboter le travail de l’ensemble des intervenants s’étant occupés de près ou de loin de</w:t>
      </w:r>
    </w:p>
    <w:p>
      <w:r>
        <w:t>- 6 - l’encadrement de sa fille – dont la recourante dresse une liste en pages 5-</w:t>
      </w:r>
    </w:p>
    <w:p>
      <w:r>
        <w:rPr>
          <w:b/>
        </w:rPr>
        <w:t>E. 3.1</w:t>
      </w:r>
    </w:p>
    <w:p>
      <w:r>
        <w:t>Aux termes de l’art. 219 CP (Code pénal du 21 décembre 1937; RS 311.0), celui qui aura violé son devoir d’assister ou d’élever une personne mineure dont il aura ainsi mis en danger le développement physique ou psychique, ou qui aura manqué à ce devoir, sera puni d’une peine privative de liberté de trois ans au plus ou d’une peine pécuniaire. Les actes reprochés doivent mettre en danger le développement physique ou psychique du mineur. Définissant un délit de mise en danger concrète, l'art. 219 CP n'exige pas une atteinte à l'intégrité corporelle ou psychique du mineur; une mise en danger suffit, celle-ci devant toutefois être concrète; il n’est donc pas nécessaire que le comportement de l’auteur aboutisse à un résultat, c’est-à-dire à une atteinte à l’intégrité corporelle ou psychique du mineur; la simple possibilité abstraite d’une atteinte ne suffit cependant pas, il faut que</w:t>
      </w:r>
    </w:p>
    <w:p>
      <w:r>
        <w:t>- 7 - celle-ci apparaisse à tout le moins vraisemblable (ATF 126 IV 136 consid. 1a; ATF 125 IV 64 consid. 1a).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une transgression du droit de punir de peu d'importance ne saurait déjà tomber sous le coup de l'art. 219 CP (TF 6B_457/2013 du 29 octobre 2013 consid. 1.2; TF 6S.339/2003 du 12 novembre 2003 consid. 2.3; CAPE 8 octobre 2018/272 consid. 4.1 et les références citées).</w:t>
      </w:r>
    </w:p>
    <w:p>
      <w:r>
        <w:rPr>
          <w:b/>
        </w:rPr>
        <w:t>E. 3.2</w:t>
      </w:r>
    </w:p>
    <w:p>
      <w:r>
        <w:t>En l’espèce, le raisonnement du Ministère public ne peut pas être suivi. Le comportement du prévenu est extrêmement problématique et préoccupant, pour ne pas dire alarmant. Il ressort en effet du dossier que l’intéressé se montre oppositionnel, insultant et menaçant avec l’ensemble des intervenants sociaux s’occupant de près ou de loin de l’encadrement de sa fille, tout comme il le fait d’ailleurs avec la mère de l’enfant. Dans le rapport du SPJ du 2 mars 2020, on lit qu’il est impulsif et agressif, ce qui avait conduit une garderie à mettre un terme au placement de l’enfant et inquiétait les directions des autres garderies de la région, au point qu’il était difficile d’en trouver une nouvelle, alors qu’un tel placement représente un soutien important pour B.N.________. On lit encore dans ce rapport que A.N.________ fait obstacle, par ses agissements, aux contacts familiaux que pourrait avoir l’enfant, qu’il s’attèle à mettre en échec tous les dispositifs mis en place pour sa fille et que les besoins de celle-ci – qu’il ne parvient pas à identifier – ne semblent pas du tout le concerner dans ses demandes, qui sont conduites par son intérêt propre. Le prévenu ne respecte pas les interdictions judiciaires d’approcher B.N.________ ou sa mère ; au contraire, il les brave à dessein. Il lui est également interdit de voir son fils [...] et il se sert de son fils aîné</w:t>
      </w:r>
    </w:p>
    <w:p>
      <w:r>
        <w:t>- 8 - [...], 11 ans, pour nuire à G.________. La procédure pénale dirigée contre lui pour de multiples infractions dirigées contre la mère et les intervenants sociaux, et dans le cadre de laquelle le procureur a été contraint de demander sa mise en détention provisoire, puisqu’il paraît avoir récidivé malgré plusieurs avertissements, démontre à quel point son comportement est problématique et excessif. On relèvera notamment que l’intéressé s’est enfui d’une audition devant le Ministère public en défonçant une porte, ce qui a conduit les autorités à placer B.N.________ et sa mère au foyer Malley-Prairie. Dans l’ordonnance du 30 mars 2020 rendue par le Président du Tribunal civil de l’arrondissement de Lausanne retirant à A.N.________ l’autorité parentale sur B.N.________ (P. 7/2/3), on lit en page 17 que l’exercice conjoint de cette autorité constituait une menace grave pour le développement de cette dernière, l’intéressé s’opposant systématiquement à toute décision importante devant être prise dans l’intérêt supérieur de l’enfant. Dans ce contexte, on voit mal comment les agissements inadéquats et répétés du prévenu pourraient ne pas avoir une influence néfaste sur l’environnement de sa fille et sur la stabilité dont elle a à l’évidence besoin. Il est dès lors vraisemblable – ce qui est suffisant – que l’intéressé ait concrètement mis en danger son développement psychique, à tout le moins par dol éventuel, de sorte qu’une infraction à l’art. 219 CP est envisageable à ce stade. C’est donc à tort que le Ministère public a refusé d’entrer en matière et une instruction pénale doit être ouverte. 4. Au vu de ce qui précède, le recours doit être admis, l’ordonnance du 18 juin 2020 annulée et le dossier de la cause renvoyé au Ministère public de l’arrondissement de Lausanne pour qu’il procède dans le sens des considérants. Les frais de la procédure de recours, par 880 fr. (art. 20 al. 1 TFIP [Tarif des frais de procédure et indemnités en matière pénale du 28 septembre 2010; BLV 312.03.1]), seront laissés à la charge de l'Etat (art. 423 al. 1 CPP).</w:t>
      </w:r>
    </w:p>
    <w:p>
      <w:r>
        <w:t>- 9 - La recourante, qui a procédé avec l’assistance d’un avocat de choix et qui a obtenu gain de cause, a droit à une indemnité pour les dépenses obligatoires occasionnées par la procédure de recours (433 al. 1 CPP par renvoi de l’art. 436 al. 1 CPP), à la charge de l’Etat. Cette indemnité sera fixée sur la base d’une activité d’avocat de 2,5 heures au tarif horaire de 300 fr. (art. 26a al. 3 TFIP), soit 750 fr., plus 2% de débours forfaitaires (art. 19 al. 2 TDC [Tarif des dépens en matière civile du 23 novembre 2010; BLV 270.11.6] par renvoi de l'art. 26a al. 6 TFIP), par 15 fr., plus 7,7 % de TVA, par 58 fr. 90, soit 823 fr. 90 au total, montant arrondi à 824 francs. Par ces motifs, la Chambre des recours pénale prononce : I. Le recours est admis. II. L’ordonnance du 18 juin 2020 est annulée. III. Le dossier de la cause est renvoyé au Ministère public de l’arrondissement de Lausanne pour qu’il procède dans le sens des considérants. IV. Les frais de la procédure de recours, par 880 fr. (huit cent huitante francs), sont laissés à la charge de l'Etat. V. Une indemnité de 824 fr. (huit cent vingt-quatre francs) est allouée à G.________ pour la procédure de recours, à la charge de l'Etat. VI. L’arrêt est exécutoire. Le président : Le greffier :</w:t>
      </w:r>
    </w:p>
    <w:p>
      <w:r>
        <w:t>- 10 - Du Le présent arrêt, dont la rédaction a été approuvée à huis clos, est notifié, par l'envoi d'une copie complète, à : - Me Jérôme Campart, avocat (pour G.________), - M. A.N.________,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r>
        <w:rPr>
          <w:b/>
        </w:rPr>
        <w:t>E. 6</w:t>
      </w:r>
    </w:p>
    <w:p>
      <w:r>
        <w:t>de son recours –, notamment en refusant de collaborer avec les intervenants sociaux et en les menaçant, comme il l’aurait fait avec son épouse, portant ainsi atteinte au bon développement de l’enfant. Ces agissements auraient provoqué de nombreuses décisions civiles et pénales au détriment du bien-être de B.N.________, ce qui aurait d’ailleurs conduit le Président du Tribunal civil de l’arrondissement de Lausanne à retirer l’autorité parentale du père sans prévoir un droit de visite, considérant qu’il était patent que le maintien de l’exercice conjoint de l’autorité parentale sur l’enfant constituait une menace pour son développement, respectivement que le maintien de l’autorité parentale conjointe constituait un poids, voire une menace de dangers, puisque le père s’opposait systématiquement à toute décision importante devant être prise dans l’intérêt supérieur de l’enfant. A.N.________ aurait dès lors négligé l’impact de son comportement sur le développement et la prise en charge de sa fille, violant ainsi intentionnellement – compte tenu des avertissements du Ministère public et de la longue période sur laquelle se sont étendus ses agissements – et gravement son devoir d’assistance et d’éducation.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