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PE20.009284 vom 7. September 2020</w:t>
      </w:r>
    </w:p>
    <w:p>
      <w:r>
        <w:t>VD Tribunal cantonal, 2020-09-07, FR</w:t>
      </w:r>
    </w:p>
    <w:p>
      <w:r>
        <w:rPr>
          <w:b/>
        </w:rPr>
        <w:t xml:space="preserve">Quelle: </w:t>
      </w:r>
      <w:r>
        <w:t>https://mcp.opencaselaw.ch/entscheid/vd_gerichte_PE20.009284</w:t>
      </w:r>
    </w:p>
    <w:p>
      <w:r>
        <w:t>FR: VD_GERICHTE PE20.009284 du 7 septembre 2020</w:t>
      </w:r>
    </w:p>
    <w:p>
      <w:r>
        <w:t>IT: VD_GERICHTE PE20.009284 del 7 settembre 2020</w:t>
      </w:r>
    </w:p>
    <w:p>
      <w:pPr>
        <w:pStyle w:val="Heading2"/>
      </w:pPr>
      <w:r>
        <w:t>Erwägungen</w:t>
      </w:r>
    </w:p>
    <w:p>
      <w:r>
        <w:rPr>
          <w:b/>
        </w:rPr>
        <w:t>E. 29</w:t>
      </w:r>
    </w:p>
    <w:p>
      <w:r>
        <w:t>al. 3 Cst. (Constitution fédérale de la Confédération suisse du 18 avril</w:t>
      </w:r>
    </w:p>
    <w:p>
      <w:r>
        <w:t>- 5 - 1999 ; RS 101),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 Selon l'art. 132 CPP, la direction de la procédure ordonne une défense d'office si le prévenu ne dispose pas des moyens nécessaires et que l'assistance d'un défenseur est justifiée pour sauvegarder ses intérêts (al. 1 let. b). La défense d'office aux fins de protéger les intérêts du prévenu se justifie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 Si les deux conditions mentionnées à l'art.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(TF 1B_325/2020 du 6 juillet 2020 consid. 3 ; TF 1B_9/2020 du 6 mai 2020 consid. 2.2 ; TF 1B_494/2019 du 20 décembre 2019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w:t>
      </w:r>
    </w:p>
    <w:p>
      <w:r>
        <w:t>- 6 -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1B_494/2019 du 20 décembre 2019 consid. 3.1 et les arrêts cités). S'agissant de la difficulté objective de la cause, à l'instar de ce qu'elle a développé en rapport avec les chances de succès d'un recours (ATF 139 III 396 consid. 1.2 ; ATF 129 I 129 consid. 2.3.1),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(TF 1B_9/2020 précité consid. 2.2 ; TF 1B_538/2019 du 10 décembre 2019 consid. 3.1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1B_9/2020 précité consid. 2.2 ; TF 1B_538/2019 précité consid. 3.1 et les arrêts cités). 2.3 Comme le recourant le reconnaît lui-même, les faits en cause ne présentent aucune difficulté. En outre, le recourant, né en 1964 et qui est, à ses dires, physiothérapeute de profession, est au bénéfice d’une formation supérieure (maturité ; cf. PV aud. 3 R. 3). Il est donc parfaitement en mesure de faire valoir les arguments qu’il invoque devant</w:t>
      </w:r>
    </w:p>
    <w:p>
      <w:r>
        <w:t>- 7 - le Procureur. La cause ne présente pas non plus de difficulté sur le plan du droit, ce que le recourant ne conteste du reste pas. Quant à la peine à laquelle il s’expose, elle reste inférieure à la limite de quatre mois prévue par l’art. 132 al. 3 CPP et le recourant ne fait pas valoir de circonstance particulière propre à justifier, pour un autre motif, l’intervention d’un défenseur d’office. En particulier, cette mesure n’est pas dictée par l’égalité entre les parties, les plaignantes n’étant assistée. En outre, s’il invoque des « conséquences très importantes » sur sa vie, il ne fournit aucun précision à cet égard, n’invoquant notamment pas qu’il risquerait de perdre une autorisation d’exercer sa profession ou la garde de son fils. Quant au défaut d’objectivité prétendument dû au fait que sa compagne est également impliquée dans les infractions qui lui sont reprochées, on ne voit pas en quoi il justifierait la désignation d’un défenseur d’office, ce d’autant moins que celle-ci a été condamnée définitivement. Au vu des éléments objectifs dont il y a lieu de tenir compte, soit principalement l’absence de difficulté de la cause, ainsi que des éléments subjectifs fondés sur l’aptitude du recourant à mener seul la procédure, c’est à juste titre que le Procureur a considéré que la sauvegarde des intérêts du recourant ne justifiait pas l’assistance d’un défenseur d’office. 3. Au vu de ce qui précède, le recours, manifestement mal fondé, doit être rejeté sans échange d'écritures (art. 390 al. 2 CPP) et l'ordonnance du 13 août 2020 confirmée. Le recourant ne sollicitant pas la désignation de Me Lorentz en qualité de défenseur d’office pour la procédure de recours, il n’y a pas lieu de statuer sur ce point. Les frais de la procédure de recours, constitués du seul émolument d’arrêt,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rejeté. II. L’ordonnance du 13 août 2020 est confirmée. III. Les frais d’arrêt, par 770 fr. (sept cent septante francs), sont mis à la charge de Z.________. IV. L’arrêt est exécutoire. Le président : La greffière : Du Le présent arrêt, dont la rédaction a été approuvée à huis clos, est notifié, par l'envoi d'une copie complète, à : - Me Sébastien Lorentz, avocat (pour Z.________), - Ministère public central, et communiqué à :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