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PE20.009275 vom 14. Juni 2023</w:t>
      </w:r>
    </w:p>
    <w:p>
      <w:r>
        <w:t>VD Tribunal cantonal, 2023-06-14, FR</w:t>
      </w:r>
    </w:p>
    <w:p>
      <w:r>
        <w:rPr>
          <w:b/>
        </w:rPr>
        <w:t xml:space="preserve">Quelle: </w:t>
      </w:r>
      <w:r>
        <w:t>https://mcp.opencaselaw.ch/entscheid/vd_gerichte_PE20.009275</w:t>
      </w:r>
    </w:p>
    <w:p>
      <w:r>
        <w:t>FR: VD_GERICHTE PE20.009275 du 14 juin 2023</w:t>
      </w:r>
    </w:p>
    <w:p>
      <w:r>
        <w:t>IT: VD_GERICHTE PE20.009275 del 14 giugno 2023</w:t>
      </w:r>
    </w:p>
    <w:p>
      <w:pPr>
        <w:pStyle w:val="Heading2"/>
      </w:pPr>
      <w:r>
        <w:t>Erwägungen</w:t>
      </w:r>
    </w:p>
    <w:p>
      <w:r>
        <w:rPr>
          <w:b/>
        </w:rPr>
        <w:t>E. 3</w:t>
      </w:r>
    </w:p>
    <w:p>
      <w:r>
        <w:t>Le recourant soutient que l’acte d’accusation en procédure simplifiée contiendrait un classement implicite, car au vu de l’ensemble des faits reprochés, y compris ceux mentionnés dans l’ordonnance de classement rendue le même jour, le Ministère public aurait également dû retenir la qualification juridique d’escroquerie.</w:t>
      </w:r>
    </w:p>
    <w:p>
      <w:r>
        <w:rPr>
          <w:b/>
        </w:rPr>
        <w:t>E. 3.1.1</w:t>
      </w:r>
    </w:p>
    <w:p>
      <w:r>
        <w:t>Selon la jurisprudence, il y a classement partiel lorsqu'il existe des faits ou comportements distincts de ceux faisant l'objet d'une ordonnance pénale ou d'un acte d'accusation, que le ministère public n'entend pas poursuivre pour l'un des motifs énumérés à l'art. 319 CPP. Dans une telle hypothèse, le ministère public doit rendre une ordonnance formelle, qui peut faire l'objet d'un recours en application des art. 322 al. 2 et 393 ss CPP. Lorsque le ministère public omet de rendre une telle décision, alors qu'il aurait dû le faire, et qu'il classe, partant, implicitement les faits ou comportements distincts de ceux faisant l'objet de l'ordonnance rendue, ce classement partiel tacite peut être contesté devant l'autorité de recours lorsqu'il est révélé par la teneur de l'acte d'accusation ou de l'ordonnance pénale. En revanche, s'il n'existe pas de faits ou de comportements distincts de ceux objet du renvoi en jugement ou de l'ordonnance pénale, il n'y a pas matière à classement, implicite ou explicite (cf. TF 6B_819/2018 du 25 janvier 2019 consid. 1.3.5). En d'autres termes, un classement partiel n'entre en ligne de compte que si</w:t>
      </w:r>
    </w:p>
    <w:p>
      <w:r>
        <w:t>- 8 - plusieurs faits ou comportements doivent être jugés et qu'ils peuvent faire l'objet de décisions séparées. Tel n'est pas le cas en présence de plusieurs qualifications juridiques d'un seul et même état de fait (ATF 144 IV 362 consid. 1.3.1). Lorsqu'un classement partiel est ordonné dans une procédure et qu'il est entré en force, il exclut toute condamnation à raison des mêmes faits, même s'il a été prononcé à tort en raison de l'identité des faits classés avec ceux renvoyés. L'autorité de jugement ne peut plus se saisir des faits classés sans violer le principe ne bis in idem (ATF 144 IV 362 consid. 1.4 ; TF 6B_367/2020 du 17 janvier 2022 consid. 4.5.1).</w:t>
      </w:r>
    </w:p>
    <w:p>
      <w:r>
        <w:rPr>
          <w:b/>
        </w:rPr>
        <w:t>E. 3.1.2</w:t>
      </w:r>
    </w:p>
    <w:p>
      <w:r>
        <w:t>La procédure simplifiée est régie par les articles 358 ss CPP. Aux termes de l’art. 360 al. 3 CPP, l’acte d’accusation est réputé accepté si la partie plaignante ne l’a pas rejeté par écrit dans le délai imparti. Celle-ci peut en particulier s’opposer à la qualification juridique des infractions retenues (cf. infra pour le CP ; Moreillon/Parein-Reymond, Petit commentaire, Code de procédure pénale, 2e éd., 2016, n. 9 ad art. 360 CPP). Selon l’art. 360 al. 5 CPP, si une partie rejette l’acte d’accusation, le Ministère public engage une procédure préliminaire ordinaire.</w:t>
      </w:r>
    </w:p>
    <w:p>
      <w:r>
        <w:rPr>
          <w:b/>
        </w:rPr>
        <w:t>E. 3.2</w:t>
      </w:r>
    </w:p>
    <w:p>
      <w:r>
        <w:t>Par courrier du 29 novembre 2022, le recourant a déclaré rejeter l’acte d’accusation en procédure simplifiée du 18 novembre 2022, de sorte que le Ministère public a ordonné la reprise de la cause en procédure préliminaire ordinaire (art. 360 al. 5 CPP ; PV des opérations, p. 12). L’acte d’accusation, y compris le classement implicite qu’il pourrait contenir, est ainsi caduc. En conséquence, faute de décision tranchant une question pénale sur le fond (cf. art. 80 al. 1 CPP), le recours, en tant qu’il est dirigé contre le classement implicite que contiendrait l’acte d’accusation du 18 novembre 2022 est irrecevable (art. 382 al. 1 CPP).</w:t>
      </w:r>
    </w:p>
    <w:p>
      <w:r>
        <w:rPr>
          <w:b/>
        </w:rPr>
        <w:t>E. 4</w:t>
      </w:r>
    </w:p>
    <w:p>
      <w:r>
        <w:t>Dans un premier moyen, le recourant soutient que K.________, qui ne bénéficiait initialement que de la carte de débit [...] du club, se serait indûment procuré quatre cartes de crédit liées à ce compte postal, qu’il les aurait faits émettre à son nom et qu’il les aurait utilisées à des fins personnelles. Il estime que le prévenu aurait ce faisant commis l’infraction d’utilisation frauduleuse d’un ordinateur par métier.</w:t>
      </w:r>
    </w:p>
    <w:p>
      <w:r>
        <w:t>- 9 -</w:t>
      </w:r>
    </w:p>
    <w:p>
      <w:r>
        <w:rPr>
          <w:b/>
        </w:rPr>
        <w:t>E. 4.1</w:t>
      </w:r>
    </w:p>
    <w:p>
      <w:r>
        <w:t>Selon l’art. 147 al. 1 CP, se rend coupable d’utilisation frauduleuse d’un ordinateur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Les éléments constitutifs de cette infraction sont au nombre de trois : une utilisation incorrecte, incomplète ou indue des données, l’influence sur un processus électronique ou similaire de traitement ou de transmission de données de telle sorte qu’un résultat inexact soit obtenu, et un transfert d’actifs au préjudice d’autrui ou sa dissimulation (Dupuis et al. [éd.], Petit commentaire, Code pénal, 2e éd., 2017, n. 1 ad art. 147 CP). Il y a utilisation indue si l’auteur utilise des données correctes pour s’introduire dans le système, mais qu’il n’est pas autorisé à employer ; par exemple, l’auteur usurpe le code d’accès d’autrui (Corboz, Les infractions en droit suisse, 3e éd. Berne 2010, nn. 4-6 ad art. 147 CP). Pour ce qui est de l’influence sur le processus électronique, il s’agit du pendant de l’erreur provoquée par la tromperie. L’utilisation incorrecte, incomplète ou indue des données (ou un procédé analogue) doit avoir pour effet d’influencer le processus électronique ou similaire de traitement ou de transmission des données (ibidem, n. 9 ad art. 147 CP). Enfin, la manipulation doit aboutir à un transfert d’actifs ou à sa dissimulation. Il y a transfert d’actifs lorsque l’argent passe d’un compte à un autre ou lorsque l’auteur retire l’argent d’autrui au bancomat. Il faut assimiler au transfert d’actifs le cas où l’auteur obtient sans bourse délier une prestation qui est automatiquement, par un processus électronique, facturée à une autre personne (ibidem, nn. 11 et 12 et les réf. citées). Selon le Tribunal fédéral, ce qui compte n’est pas l’emploi de données de façon indue, mais plutôt le</w:t>
      </w:r>
    </w:p>
    <w:p>
      <w:r>
        <w:t>- 10 - résultat de cet emploi, soit s’il aboutit à un traitement informatique qui déclenche un transfert d’actifs (ATF 129 IV 315 consid. 2.1 et 2.2, JdT 2005 IV 9).</w:t>
      </w:r>
    </w:p>
    <w:p>
      <w:r>
        <w:rPr>
          <w:b/>
        </w:rPr>
        <w:t>E. 4.2</w:t>
      </w:r>
    </w:p>
    <w:p>
      <w:r>
        <w:t>En l’espèce, le recourant ne conteste pas avoir confié la gestion financière du club à K.________ (cf. PV audition 3). Dans ce cadre, ce dernier était autorisé, par le président, à prélever des fonds sur le compte [...] du X.________ pour assurer le fonctionnement de l’association. Pour ce faire, il disposait, outre du code NIP lié au compte postal, d’une connection e-banking qu’il pouvait librement utiliser pour procéder aux paiements. Il n’était pas en possession de codes d’accès usurpés et rien ne l’empêchait donc d’utiliser les données auxquelles il avait librement accès pour émettre des cartes de crédit. Dans ces circonstances, on ne se trouve pas dans le cas de figure où le prévenu aurait indûment utilisé des données pour s’introduire dans un système qu’il n’était pas autorisé à employer. Les éléments constitutifs de l’art. 147 al. 1 CP ne sont dès lors pas réunis. En réalité, ce n’est pas le procédé utilisé, soit l’émission de plusieurs cartes de crédit, qui pose un problème, mais plutôt le transfert d’actifs au préjudice du club, le prévenu étant suspecté d’avoir détourné à son profit les fonds qui lui avaient été confiés et dont il avait la maîtrise. Le recourant apparaît ainsi confondre l’infraction d’utilisation frauduleuse d’un ordinateur avec celle d’abus de confiance (art. 138 CP), qui a justement été prise en compte dans l’acte d’accusation en procédure simplifiée établi par le Ministère public. En définitive, l’ordonnance de classement doit être confirmée s’agissant de l’infraction d’utilisation frauduleuse d’un ordinateur.</w:t>
      </w:r>
    </w:p>
    <w:p>
      <w:r>
        <w:rPr>
          <w:b/>
        </w:rPr>
        <w:t>E. 5</w:t>
      </w:r>
    </w:p>
    <w:p>
      <w:r>
        <w:t>Le recourant fait grief au Ministère public d’avoir considéré que l’infraction de faux dans les titres n’était pas réalisée. A cet égard, il expose que, selon la jurisprudence, la comptabilité commerciale et ses éléments (pièces justificatives, livres, extraits de compte, bilans ou comptes de résultat) ont une valeur probante accrue. Ainsi, une facture au contenu inexact, également destinée à servir au destinataire avant tout comme pièce comptable, constitue un faux intellectuel. Le recourant</w:t>
      </w:r>
    </w:p>
    <w:p>
      <w:r>
        <w:t>- 11 - relève que les fausses factures établies par le prévenu n’avaient pas seulement pour objectif que le club s’en acquitte, ce qu’il avait fait, mais devaient aussi servir de pièces comptables, en particulier s’agissant de l’école de football créée au sein du club ([...]). Au vu de leur valeur probante accrue, elles seraient ainsi constitutives de faux intellectuels et non de mensonges écrits.</w:t>
      </w:r>
    </w:p>
    <w:p>
      <w:r>
        <w:rPr>
          <w:b/>
        </w:rPr>
        <w:t>E. 5.1.1</w:t>
      </w:r>
    </w:p>
    <w:p>
      <w:r>
        <w:t>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(al. 1), ou aura, pour tromper autrui, fait usage d’un tel titre (al. 2). La notion de titre est définie par l’art. 110 al. 4 CP. Selon cette disposition, sont des titres tous les écrits destinés et propres à prouver un fait ayant une portée juridique et tous les signes destinés à prouver un tel fait.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 ATF 142 IV 119 consid. 2.1, ATF 138 IV 130 consid. 2.1 ; TF 6B_383/2019 consid. 8.3.1).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w:t>
      </w:r>
    </w:p>
    <w:p>
      <w:r>
        <w:t>- 12 - pas, même si dans la pratique des affaires il est admis que l'on se fie à de tels documents (ATF 146 IV 258 consid. 1.1 ; ATF 142 IV 119 consid. 2.1 et les références citées ; TF 6B_383/2019 du 8 novembre 2019 consid. 8.3.1 non publié in ATF 145 IV 470).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et les références citées ; TF 6B_367/2022 du 4 juillet 2022 consid. 1.2 et les références citées). Une facture munie d'une quittance n'est pas dotée en soi, de par la loi, d'une garantie objective suffisante pour faire l'objet d'un faux intellectuel dans les titres (ATF 121 IV 131 consid. 2). Cependant, selon la jurisprudence, l'auteur peut se rendre coupable de faux intellectuel dans les titres lorsqu'une facture au contenu inexact est également destinée à servir au destinataire avant tout comme pièce comptable, si bien que sa comptabilité s'en trouve faussée (ATF 146 IV 258 consid. 1.1.1 et les références citées ; ATF 138 IV 130).</w:t>
      </w:r>
    </w:p>
    <w:p>
      <w:r>
        <w:rPr>
          <w:b/>
        </w:rPr>
        <w:t>E. 5.1.2</w:t>
      </w:r>
    </w:p>
    <w:p>
      <w:r>
        <w:t>La jurisprudence considère que certains documents possèdent une valeur probante accrue en raison de la fonction de la personne qui les établit, cette personne se trouvant dans une position comparable à celle d'un garant à l'égard des personnes induites en erreur (ATF 123 IV 61 conid. 5c/cc ; ATF 121 IV 131 consid. 2c ; ATF 120 IV 25 consid. 3f). Ainsi, la jurisprudence a reconnu comme des faux intellectuels dans les titres une feuille de maladie ou une facture mensongère, établie par un médecin, lequel bénéficie d'une position privilégiée et jouit de ce fait d'un rapport de confiance particulier existant avec la caisse-maladie (ATF 117 IV 165 consid. 2c ; ATF 103 IV 178 consid. 2) ainsi qu'une approbation écrite inexacte émanant d'un architecte chargé par le maître d'ouvrage de vérifier des factures (ATF 119 IV 54 consid. 2d/dd). La jurisprudence a également reconnu que les confirmations d'état de compte émises par un organe dirigeant d'une succursale bancaire avaient une valeur probante accrue du fait de la confiance particulière dont jouissent les banques, lesquelles sont soumises à une législation spéciale et à des contrôles spécifiques (ATF 120 IV 361</w:t>
      </w:r>
    </w:p>
    <w:p>
      <w:r>
        <w:t>- 13 - consid. 2c). Toutefois, le seul fait que le document mentionne ou soit matériellement rédigé par une personne qui jouit dans les faits d'un crédit particulier - comme un notaire - n'accroît pas sa valeur probante (ATF 125 IV 273 consid. 3b).</w:t>
      </w:r>
    </w:p>
    <w:p>
      <w:r>
        <w:rPr>
          <w:b/>
        </w:rPr>
        <w:t>E. 5.2</w:t>
      </w:r>
    </w:p>
    <w:p>
      <w:r>
        <w:t>En l’espèce, K.________ exerçait la fonction de caissier du club et percevait, afin d’assurer le bon fonctionnement de celui-ci, de nombreux versements de son président sur la base des factures qu’il établissait. Or, il ressort du rapport de la Brigade financière que le prévenu bénéficiait d’une position privilégiée au regard de la confiance qui avait été placée en lui et des pouvoirs quasi illimités qui lui avaient été conférés par T.________, tant sur le plan de la gestion technique que financière du X.________. De ce fait, il est manifeste qu’il jouissait d’un rapport de confiance particulier avec ce dernier, de surcroît atteint dans sa santé, d’une part, et les autres membres du club, d’autre part. Il se trouvait ainsi dans une position comparable à celle d’un garant à l’égard des personnes précitées qu’il est suspecté d’avoir induites en erreur. Dans ces conditions, il faut admettre que les factures qu’il présentait à T.________ possédaient une valeur probante accrue. Dans la mesure où il paraît avéré qu’un nombre important des factures établies par K.________ étaient fausses (cf. P. 46, pp. 18-19), en particulier s’agissant de tournois qui n’avaient pas eu lieu et du développement d’une école de football au [...], dont rien n’indique qu’elle ait jamais existé, on ne saurait exclure à ce stade la confection de faux intellectuels constitutifs de l’infraction de faux dans les titres au sens de l’art. 251 CP.</w:t>
      </w:r>
    </w:p>
    <w:p>
      <w:r>
        <w:rPr>
          <w:b/>
        </w:rPr>
        <w:t>E. 6</w:t>
      </w:r>
    </w:p>
    <w:p>
      <w:r>
        <w:t>Dans un troisième moyen, le recourant fait grief au Ministère public d’avoir omis, dans l’acte d’accusation rendu simultanément à l’ordonnance de classement, l’infraction d’escroquerie, de sorte qu’il y aurait un classement implicite sur ce point. Selon lui, cette infraction serait réalisée car le prévenu aurait profité des problèmes de santé du président du club et de la confiance que celui-ci avait placée en lui, par des stratagèmes lui faisant croire à la fondation d’une école de football au [...] et à l’instauration d’un partenariat avec le [...] permettant de créer une école de football au sein du club, animée par des représentants de</w:t>
      </w:r>
    </w:p>
    <w:p>
      <w:r>
        <w:t>- 14 - l’équipe [...], pour justifier ses multiples dépenses et mouvements d’argent à son profit, en particulier vers le [...]. Cette tromperie aurait été rendue possible notamment grâce à l’utilisation des différentes cartes de crédit du club émises à l’insu du président, à des paiements effectués en espèces par l’ancienne compagne du prévenu en vue d’éviter que ce dernier apparaisse sur les avis de versement et à des fausses factures émises par le prévenu, celui-ci ayant notamment signé ces dernières au nom de sa femme et en faisant apparaître celle-ci comme la gestionnaire du club, alors qu’elle ne l’était pas.</w:t>
      </w:r>
    </w:p>
    <w:p>
      <w:r>
        <w:rPr>
          <w:b/>
        </w:rPr>
        <w:t>E. 6.1</w:t>
      </w:r>
    </w:p>
    <w:p>
      <w:r>
        <w:t>A teneur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(TF 6B_653/2021 du</w:t>
      </w:r>
    </w:p>
    <w:p>
      <w:r>
        <w:rPr>
          <w:b/>
        </w:rPr>
        <w:t>E. 6.2</w:t>
      </w:r>
    </w:p>
    <w:p>
      <w:r>
        <w:t>Comme on l’a vu ci-dessus (cf. supra consid. 3.2), le recours en tant qu’il est dirigé contre le classement implicite que contiendrait l’acte d’accusation en procédure simplifiée est irrecevable. Par ailleurs, le Ministère public ayant ordonné, conformément à l’art. 360 al. 5 CPP, la reprise de la cause en procédure préliminaire, il lui incombera d’étendre son instruction à raison de faits qui pourraient entrer dans le champ d’application de l’art. 146 CP, ce qui, au vu des arguments soulevés par le recourant, ne peut être exclu. Partant, la question de savoir si les</w:t>
      </w:r>
    </w:p>
    <w:p>
      <w:r>
        <w:t>- 16 - agissements du prévenu (versements et transferts d’argent indus, émission de cartes de crédit et falsification de factures) pourraient réaliser les éléments constitutifs de l’escroquerie est prématurée, la procédure préliminaire étant toujours en cours et aucune décision n’ayant, en définitive, été rendue sur ce point. Le recours est donc irrecevable dans cette mesure. 7. En définitive, le recours doit être partiellement admis dans la mesure où il est recevable et l’ordonnance de classement du 18 novembre 2022 annulée en tant qu’elle vaut classement pour l’infraction de faux dans les titres. L’ordonnance est confirmée pour le surplus. Vu l'issue de la cause, les frais de la procédure de recours, constitués en l'espèce de l’émolument d'arrêt (art. 422 al. 1 CPP), par 1’650 fr. (art. 20 al. 1 TFIP [tarif des frais de procédure et indemnités en matière pénale du 28 septembre 2010 ; BLV 312.03.1]), et des frais imputables à la défense d’office de K.________ (cf. art. 422 al. 1 et 2 let. a CPP), fixés à 540 fr., correspondant au vu des déterminations produites à 3h00 d’activité nécessaire d’avocat au tarif horaire de 180 fr., auxquels il convient d’ajouter des débours forfaitaires à concurrence de 2 % (cf. art. 3bis al. 1 RAJ [règlement sur l'assistance judiciaire en matière civile du 7 décembre 2010 ; BLV 211.02.3], applicable par renvoi de l’art. 26b TFIP), par</w:t>
      </w:r>
    </w:p>
    <w:p>
      <w:r>
        <w:rPr>
          <w:b/>
        </w:rPr>
        <w:t>E. 10</w:t>
      </w:r>
    </w:p>
    <w:p>
      <w:r>
        <w:t>fr. 80, plus la TVA, par 42 fr. 40, soit à 594 fr. au total en chiffres arrondis, seront mis à la charge du recourant à raison de deux tiers, soit par 1’496 fr., le solde étant laissé à la charge de l'Etat (art. 428 al. 4 CPP). Obtenant partiellement gain de cause, le recourant, qui a procédé avec l’assistance d’un avocat de choix, a droit à une indemnité réduite pour les dépenses occasionnées par la procédure de recours (art. 433 al. 1 let. a CPP, applicable par renvoi de l’art. 436 al. 1 CPP). Au vu du mémoire de recours produit, celle-ci sera fixée à 1’800 fr., correspondant à 6 heures d’activité nécessaire d’avocat au tarif horaire de 300 fr., auxquels il convient d’ajouter des débours forfaitaires à concurrence de 2</w:t>
      </w:r>
    </w:p>
    <w:p>
      <w:r>
        <w:t>- 17 - %, par 36 fr., plus la TVA, par 141 fr. 40, soit à 1’978 fr. au total en chiffres arrondis. Cette indemnité sera réduite des deux tiers pour tenir compte de la mesure dans laquelle le recours est admis et ainsi arrêtée à 660 fr., en chiffres arrondis, à la charge de l’Etat. Par ces motifs, la Chambre des recours pénale prononce : I. Le recours est partiellement admis dans la mesure où il est recevable. II. L’ordonnance du 18 novembre 2022 est annulée en tant qu’elle vaut classement pour l’infraction de faux dans les titres. L’ordonnance est confirmée pour le surplus. III. Une indemnité réduite de 660 fr. (six cent soixante francs) est allouée à X.________ pour les dépenses occasionnées par la procédure de recours, à la charge de l’Etat. IV. L’indemnité allouée à Me Alain Imhof, défenseur d’office de K.________, pour la procédure de recours, est fixée à 594 fr. (cinq cent nonante-quatre francs). V. Les frais de procédure, comprenant les frais d’arrêt, par 1’650 fr. (mille six cent cinquante francs), ainsi que les frais imputables à la défense d’office de K.________, par 594 fr. (cinq cent nonante-quatre francs), sont mis à la charge de X.________ à raison des deux tiers, soit par 1’496 fr. (mille quatre cent nonante-six francs), le solde étant laissé à la charge de l’Etat. VI. L’arrêt est exécutoire. La présidente : Le greffier :</w:t>
      </w:r>
    </w:p>
    <w:p>
      <w:r>
        <w:t>- 18 - Du Le présent arrêt, dont la rédaction a été approuvée à huis clos, est notifié, par l'envoi d'une copie complète, à : - Me Mathilde Bessonnet, avocate (pour X.________), - Me Alain Imhof, avocat (pour K.________),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