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PE20.009242 vom 14. September 2020</w:t>
      </w:r>
    </w:p>
    <w:p>
      <w:r>
        <w:t>VD Tribunal cantonal, 2020-09-14, FR</w:t>
      </w:r>
    </w:p>
    <w:p>
      <w:r>
        <w:rPr>
          <w:b/>
        </w:rPr>
        <w:t xml:space="preserve">Quelle: </w:t>
      </w:r>
      <w:r>
        <w:t>https://mcp.opencaselaw.ch/entscheid/vd_gerichte_PE20.009242</w:t>
      </w:r>
    </w:p>
    <w:p>
      <w:r>
        <w:t>FR: VD_GERICHTE PE20.009242 du 14 septembre 2020</w:t>
      </w:r>
    </w:p>
    <w:p>
      <w:r>
        <w:t>IT: VD_GERICHTE PE20.009242 del 14 settembre 2020</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w:t>
      </w:r>
    </w:p>
    <w:p>
      <w:r>
        <w:t>- 4 -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- 5 -</w:t>
      </w:r>
    </w:p>
    <w:p>
      <w:r>
        <w:rPr>
          <w:b/>
        </w:rPr>
        <w:t>E. 3.1</w:t>
      </w:r>
    </w:p>
    <w:p>
      <w:r>
        <w:t>La recourante reproche au Ministère public d’avoir considéré que les faits reprochés à F.________ ne répondaient pas à la définition des infractions d’injure ou de diffamation au sens du Code pénal.</w:t>
      </w:r>
    </w:p>
    <w:p>
      <w:r>
        <w:rPr>
          <w:b/>
        </w:rPr>
        <w:t>E. 3.2.1</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diffamation est une infraction intentionnelle (Corboz, Les infractions en droit suisse, 3e éd., vol. I, Berne 2010, n. 48 ad art. 173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w:t>
      </w:r>
    </w:p>
    <w:p>
      <w:r>
        <w:t>- 6 - 118 IV 248 consid. 2b ; TF 6B_1268/2019 du 15 janvier 2020 consid. 1.2 et les références citées).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 TF 6B_512/2017 du 12 février 2018 consid. 3.1 ; TF 1B_368/2012 du 13 mai 2013 consid. 4.2). En particulier,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128 IV 53 précité ; ATF 119 IV 44 consid. 2a ; TF 6B_1020/2018 du 1er juillet 2019 consid. 5.1.1). En effet, dans le domaine des activités socio-professionnelles, il ne suffit pas, pour qu'il y ait atteinte à l'honneur,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116 IV 205 consid. 2 ; ATF 103 IV 161 consid. 2 ; TF 6B_1020/2018 précité ; TF 6B_224/2016 du 3 janvier 2017 consid. 2.2 et les références citées).</w:t>
      </w:r>
    </w:p>
    <w:p>
      <w:r>
        <w:rPr>
          <w:b/>
        </w:rPr>
        <w:t>E. 3.2.2</w:t>
      </w:r>
    </w:p>
    <w:p>
      <w:r>
        <w:t>Aux termes de l’art. 177 CP, se rend coupable d’injure celui qui aura, par la parole, l’écriture, l’image, le geste ou par des voies de fait, attaqué autrui dans son honneur (al. 1). Le juge pourra exempter le</w:t>
      </w:r>
    </w:p>
    <w:p>
      <w:r>
        <w:t>- 7 - délinquant de toute peine si l’injurié a directement provoqué l’injure par une conduite répréhensible (al. 2). Si l’injurié a riposté immédiatement par une injure ou par des voies de fait, le juge pourra exempter de toute peine les deux délinquants ou l’un d’eux (al. 3).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Le fait par exemple de traiter une personne de « petit con » dans le cadre d’une altercation est manifestement propre à jeter un regard méprisant sur elle sans qu’il importe que, dans d'autres circonstances, cette expression puisse avoir une connotation différente ; elle est alors constitutive de l’infraction d’injure (TF 6B_602/2009 du 29 septembre 2009 consid. 2.3). Selon l'art. 177 al. 3 CP, lorsque voies de fait ou injures se répondent, le juge a la faculté d'exempter l'un des protagonistes ou les deux. S'il lui apparaît que l'un d'eux est responsable à titre prépondérant de l'altercation, il n'exemptera que l'autre. Cette disposition ne permet pas seulement d'exempter l'auteur de la riposte, mais même l'auteur de</w:t>
      </w:r>
    </w:p>
    <w:p>
      <w:r>
        <w:t>- 8 - l'acte initial. Elle consacre donc la pratique judiciaire bien ancrée selon laquelle les protagonistes d'une altercation, dont les causes et l'enchaînement ne peuvent être que difficilement ou partiellement reconstitués, doivent être renvoyés dos à dos (Corboz, op. cit., n. 35 ad art. 177 CP).</w:t>
      </w:r>
    </w:p>
    <w:p>
      <w:r>
        <w:rPr>
          <w:b/>
        </w:rPr>
        <w:t>E. 3.3.1</w:t>
      </w:r>
    </w:p>
    <w:p>
      <w:r>
        <w:t>En l’espèce, c’est à juste titre que la Procureure a considéré que, lorsqu’il s’était adressé à des tiers, F.________ s’en était pris à la réputation et aux compétences professionnelles de la plaignante, lesquelles n’étaient pas protégées par le droit pénal. En effet, bien qu’ils puissent ternir sa réputation ou ébranler la confiance qu’elle a en elle- même en mettant en cause le sérieux du mandat confié, les propos tenus par F.________ dans les divers courriels adressés en copie aux partenaires commerciaux de la plaignante ne lui imputaient pas un comportement clairement réprouvé par les conceptions morales généralement admises , ni a fortiori n’évoquaient la commission d’une infraction pénale, de sorte qu’ils ne sauraient être constitutifs de diffamation. C’est donc à juste titre que la Procureure a refusé d’entrer en matière sur la plainte de Z.________ en tant qu’elle était dirigée contre F.________ pour diffamation.</w:t>
      </w:r>
    </w:p>
    <w:p>
      <w:r>
        <w:rPr>
          <w:b/>
        </w:rPr>
        <w:t>E. 3.3.2</w:t>
      </w:r>
    </w:p>
    <w:p>
      <w:r>
        <w:t>C’est également à bon escient que la Procureure a refusé d’entrer en matière sur la plainte de Z.________ pour injure s’agissant de la plupart des propos tenus par F.________ dans les messages Whatsapp adressés directement à la plaignante, lesquels ne la rendent pas méprisable en tant qu'être humain. En revanche, il en va autrement lorsque F.________ traite la plaignante de « conne ». En effet, de tels propos constituent manifestement un jugement de valeur offensant, et, partant, une injure au sens de l’art. 177 CP. Or, contrairement à ce que soutient la Procureure, il est à ce stade prématuré de considérer qu’il y aurait de toute façon lieu de faire application de l’art. 177 al. 3 CP en faveur de F.________. En effet, une telle analyse ne saurait être effectuée préalablement à l’ouverture d’une enquête, l’exemption prévue par cette</w:t>
      </w:r>
    </w:p>
    <w:p>
      <w:r>
        <w:t>- 9 - disposition ne s’appliquant qu’à la peine et n’empêchant aucunement l’ouverture d’une instruction pénale. Ainsi, il semble à ce stade que les propos tenus par F.________ en tant qu’il a traité la plaignante de « conne » soient constitutifs d’une injure pénalement répréhensible, de sorte que c’est à tort que le Ministère public n’est pas entré en matière sur la plainte de Z.________ à cet égard. Il conviendra dès lors que le Ministère public ouvre une instruction et détermine, le cas échéant, si ce terme constitue une riposte immédiate à une injure proférée par la plaignante, voire si celle-ci a directement provoqué l’injure par une conduite répréhensible.</w:t>
      </w:r>
    </w:p>
    <w:p>
      <w:r>
        <w:rPr>
          <w:b/>
        </w:rPr>
        <w:t>E. 4</w:t>
      </w:r>
    </w:p>
    <w:p>
      <w:r>
        <w:t>Il résulte de ce qui précède que le recours doit être partiellement admis et l’ordonnance attaquée annulée en tant qu’elle vaut refus d’entrer en matière sur la plainte de Z.________ pour injure s’agissant du terme « conne ». Elle doit être confirmée pour le surplus. Le dossier de la cause sera retourné au Ministère public pour qu’il procède dans le sens des considérants. Vu le sort du recours, les frais de la procédure, constitués du seul émolument d’arrêt, par 990 fr. (art. 20 al. 1 TFIP [Tarif des frais de procédure et indemnités en matière pénale du 28 septembre 2010 ; BLV 312.03.1]), seront mis par moitié à la charge de la recourante, le solde étant laissé à la charge de l’Etat (art. 428 al. 1 et 4 CPP). Ces frais seront compensés avec le montant de 550 fr. déjà versé par la recourante à titre de sûretés (art. 7 TFIP). Le solde de ce montant lui sera restitué.</w:t>
      </w:r>
    </w:p>
    <w:p>
      <w:r>
        <w:t>- 10 - Par ces motifs, la Chambre des recours pénale prononce : I. Le recours est partiellement admis. II. L’ordonnance est annulée en tant qu’elle vaut non-entrée en matière concernant l’infraction d’injure au sens des considérants. L’ordonnance est confirmée pour le surplus. III. Le dossier de la cause est renvoyé au Ministère public de l’arrondissement de l’Est vaudois pour qu’il procède dans le sens des considérants. IV. Les frais d’arrêt, par 990 fr. (neuf cent nonante francs), sont mis par moitié, soit par 495 fr. (quatre cent nonante-cinq francs), à la charge de Z.________, le solde étant laissé à la charge de l’Etat. V. Les frais mis à la charge de Z.________ au chiffre IV ci-dessus sont compensés avec le montant de 550 fr. (cinq cent cinquante francs) déjà versé par celle-ci à titre de sûretés, et le solde de ce montant, par 55 fr. (cinquante-cinq francs), lui est restitué. VI. L’arrêt est exécutoire. Le président : La greffière : Du Le présent arrêt, dont la rédaction a été approuvée à huis clos, est notifié, par l'envoi d'une copie complète, à : - Mme Z.________, - Ministère public central,</w:t>
      </w:r>
    </w:p>
    <w:p>
      <w:r>
        <w:t>- 11 -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