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PE20.008921 vom 13. April 2022</w:t>
      </w:r>
    </w:p>
    <w:p>
      <w:r>
        <w:t>VD Tribunal cantonal, 2022-04-13, FR</w:t>
      </w:r>
    </w:p>
    <w:p>
      <w:r>
        <w:rPr>
          <w:b/>
        </w:rPr>
        <w:t xml:space="preserve">Quelle: </w:t>
      </w:r>
      <w:r>
        <w:t>https://mcp.opencaselaw.ch/entscheid/vd_gerichte_PE20.008921</w:t>
      </w:r>
    </w:p>
    <w:p>
      <w:r>
        <w:t>FR: VD_GERICHTE PE20.008921 du 13 avril 2022</w:t>
      </w:r>
    </w:p>
    <w:p>
      <w:r>
        <w:t>IT: VD_GERICHTE PE20.008921 del 13 aprile 2022</w:t>
      </w:r>
    </w:p>
    <w:p>
      <w:pPr>
        <w:pStyle w:val="Heading2"/>
      </w:pPr>
      <w:r>
        <w:t>Erwägungen</w:t>
      </w:r>
    </w:p>
    <w:p>
      <w:r>
        <w:rPr>
          <w:b/>
        </w:rPr>
        <w:t>E. 1</w:t>
      </w:r>
    </w:p>
    <w:p>
      <w:r>
        <w:t>Les premières plaintes de [...] au sujet de son père, hormis celles qu’il aurait formulées antérieurement auprès de sa mère, ont été recueillies par le médiateur scolaire les 6 et 9 mars 2020, puis l’infirmière scolaire. Un signalement a été adressé à la Justice de Paix et au SPJ (actuellement : DGEJ) le 10 mars 2020 par le directeur de l’établissement scolaire. Il y est mentionné que [...] s’est plaint au médiateur de violences physiques (cheveux tirés et claques), menaces et chantage subis pendant le droit de visite chez son père de façon régulière depuis l’âge de 8 ans.</w:t>
      </w:r>
    </w:p>
    <w:p>
      <w:r>
        <w:rPr>
          <w:b/>
        </w:rPr>
        <w:t>E. 1.1</w:t>
      </w:r>
    </w:p>
    <w:p>
      <w:r>
        <w:t>Interjeté dans les formes et délais légaux (art. 385 al. 1 et 399 CPP), par une partie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cause est de la compétence d'un juge unique (art. 14 al. 3 LVCPP [loi d'introduction du Code de procédure pénale suisse du 19 mai 2009 ; BLV 312.01]).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w:t>
      </w:r>
    </w:p>
    <w:p>
      <w:r>
        <w:t>- 14 -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6B_1263/2018 du 28 janvier 2019 consid. 2.1.1 ; TF 6B_868/2018 du 26 octobre 2018 consid. 1). 3.</w:t>
      </w:r>
    </w:p>
    <w:p>
      <w:r>
        <w:rPr>
          <w:b/>
        </w:rPr>
        <w:t>E. 2</w:t>
      </w:r>
    </w:p>
    <w:p>
      <w:r>
        <w:t>Par requête du 10 mars 2020, la mère de [...] a requis par voies de mesures superprovisionnelles une suspension du droit de visite du prévenu sur son fils, et le droit de visite a été suspendu le 11 mars 2020. Le prévenu a requis à deux reprises, le 23 mars puis le 4 juin 2020, le rétablissement immédiat de son droit de visite. Par ordonnance de mesures provisionnelles du 9 juillet 2020, le Juge de Paix a ordonné que le droit de visite du prévenu s’exerce par l’intermédiaire du Point rencontre et a confié un mandat d’évaluation au SPJ (UEMS). Le droit de visite au Point rencontre s’est exercé d’octobre à décembre 2021. Il a été suspendu par ordonnance de mesures provisionnelles du 22 avril 2021.</w:t>
      </w:r>
    </w:p>
    <w:p>
      <w:r>
        <w:rPr>
          <w:b/>
        </w:rPr>
        <w:t>E. 3</w:t>
      </w:r>
    </w:p>
    <w:p>
      <w:r>
        <w:t>La mère de [...], ex-épouse du prévenu, a déposé plainte le</w:t>
      </w:r>
    </w:p>
    <w:p>
      <w:r>
        <w:rPr>
          <w:b/>
        </w:rPr>
        <w:t>E. 3.1</w:t>
      </w:r>
    </w:p>
    <w:p>
      <w:r>
        <w:t>Dans un premier moyen, l’appelant se plaint d’un état de fait incomplet. Selon lui, le Tribunal de première instance aurait omis de nombreux éléments positifs en sa faveur, ce qui l’aurait conduit à rendre un jugement reposant sur un fondement inexact, ne permettant pas de procéder à une appréciation juridique de la situation.</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w:t>
      </w:r>
    </w:p>
    <w:p>
      <w:r>
        <w:t>- 15 -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2e éd., Bâle 2019, n. 34 ad art. 10 CPP; Kistler Vianin, in : CR CPP, op. cit.,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w:t>
      </w:r>
    </w:p>
    <w:p>
      <w:r>
        <w:rPr>
          <w:b/>
        </w:rPr>
        <w:t>E. 3.3.1</w:t>
      </w:r>
    </w:p>
    <w:p>
      <w:r>
        <w:t>L’appelant ne conteste pas les points de l’expertise pédopsychiatrique établie en 2015 par le Dr Chanez évoqués dans le jugement, mais il entend les contrebalancer par d’autres passages de l’expertise qui selon lui donnent une image plus favorable de lui dans ses compétences de père et dans ses rapports à son fils notamment. En l’occurrence, la Cour a pris connaissance des passages cités par l’appelant et ceux-ci figurent dans l’état de fait du présent jugement (cf. let. Cd supra). Il faut toutefois garder à l’esprit que cette preuve n’est pas pertinente pour deux motifs. Tout d’abord, ce rapport date de 2015. Il est donc largement antérieur aux faits pénalement pertinents se situant entre le 14 avril 2019 et le 12 mars 2020, même si l’enquête, plus large, a aussi porté sur des faits antérieurs à cette période pour vérifier une éventuelle violence paternelle récurrente. A l’époque, il s’agissait donc pour l’expert de guider</w:t>
      </w:r>
    </w:p>
    <w:p>
      <w:r>
        <w:t>- 16 - le juge matrimonial dans le choix de la solution la meilleure pour l’enfant et non de détecter d’éventuelles violences paternelles qui au demeurant ne lui ont pas été révélées, ou encore de faire une expertise de crédibilité de l’enfant. Au vu de ce qui précède, et même en tenant compte des éléments supplémentaires plaidés par l’appelant et qui vont dans son sens, ce rapport n’est pas décisif dans l’appréciation des preuves.</w:t>
      </w:r>
    </w:p>
    <w:p>
      <w:r>
        <w:rPr>
          <w:b/>
        </w:rPr>
        <w:t>E. 3.3.2</w:t>
      </w:r>
    </w:p>
    <w:p>
      <w:r>
        <w:t>Quant au certificat médical établi 10 mars 2022 par la Dresse Sandrine Racine, médecin psychiatre, il mentionne que l’appelant a suivi, durant la période du 31 mars 2010 au 19 août 2021, une psychothérapie de soutien dans le contexte de l’accusation de maltraitance physique sur son fils et de rupture de contact avec celui-ci qui s’en est suivie. Ce médecin évoque un état de choc et des symptômes anxiodépressifs avec arrêt de travail à 100%, puis reprise progressive jusqu’en mars 2021. En l’occurrence, A.H.________ entend tirer de ce certificat que le diagnostic posé et la manière dont il a été affecté par la séparation d’avec son enfant seraient incompatibles avec le fait qu’il serait l’auteur de l’infraction. L’appelant ne peut être suivi dans ses explications. En effet, il est évident qu’il peut avoir été très affecté par les accusations pénales, par l’infamie qui s’attache à la procédure, par la révélation officielle de ses méfaits et par leur impact sur ses relations finalement interrompues avec son fils qui lui a manifesté une forme de rejet, et avoir ainsi conçu une réaction psychiatrique en réponse aux conséquences sociales et juridiques de ses agissements. Cet état psychique est toutefois dépourvu de toute incompatibilité avec sa qualité d’auteur dissimulant ses actes punissables. Ici encore, la pièce citée par l’appelant ne lui est donc d’aucun secours.</w:t>
      </w:r>
    </w:p>
    <w:p>
      <w:r>
        <w:rPr>
          <w:b/>
        </w:rPr>
        <w:t>E. 3.3.3</w:t>
      </w:r>
    </w:p>
    <w:p>
      <w:r>
        <w:t>A.H.________ reproche ensuite au premier juge d’avoir mentionné le fait que la mère de l’enfant avait évoqué, dans la plainte</w:t>
      </w:r>
    </w:p>
    <w:p>
      <w:r>
        <w:t>- 17 - déposée au nom de son fils, qu’elle avait également subi des violences de sa part. En l’occurrence, dans sa plainte, K.________ évoque uniquement un coup de coude dans le ventre (cf. P. 5 p. 1). Le jugement ne fait que de rapporter cette allégation, sans la discuter, et surtout sans en faire un élément de conviction quant à la réalité des faits jugés dans cette affaire, si bien qu’il n’y a pas matière à correction de l’état de fait du jugement sur ce point.</w:t>
      </w:r>
    </w:p>
    <w:p>
      <w:r>
        <w:rPr>
          <w:b/>
        </w:rPr>
        <w:t>E. 3.3.4</w:t>
      </w:r>
    </w:p>
    <w:p>
      <w:r>
        <w:t>L’appelant fait encore grief au premier juge d’avoir occulté des passages de l’audition du témoin W.________ (cf. jugement attaqué p. 15) mettant en exergue ses qualités de père patient et mesuré, ne perdant pas son contrôle et n’élevant pas la voix. En l’espèce, il ressort des déclarations de B.H.________ que l’appelant faisait preuve d’une certaine sournoiserie, dans la mesure où il frappait son fils en l’absence de témoin, quitte à différer l’administration du châtiment, veillait à ne pas lui occasionner de marques, et adoptait un comportement différent en public et en privé (PV aud. 1 p. 4, p. 7 in fine). Ainsi, s’agissant de l’épisode du 1er août 2017, l’enfant a notamment déclaré : « J’avais renversé mon assiette et il ne m’avait rien dit à ce moment-là. Ensuite, il m’a dit d’aller à la cuisine et là il m’a tapé et ensuite on est ressorti comme si de rien était » (PV aud. 1 p. 7 ; P. 5 p. 3), de sorte que le témoignage de W.________ doit être pris en compte de manière mesurée. Au vu de ces précisons, il n’y a pas matière à modifier l’état de fait.</w:t>
      </w:r>
    </w:p>
    <w:p>
      <w:r>
        <w:rPr>
          <w:b/>
        </w:rPr>
        <w:t>E. 3.3.5</w:t>
      </w:r>
    </w:p>
    <w:p>
      <w:r>
        <w:t>L’appelant fait valoir que la présentation et l’analyse des déclarations de l’enfant B.H.________ dans le jugement du Tribunal de police seraient insuffisantes et n’emporteraient pas la conviction.</w:t>
      </w:r>
    </w:p>
    <w:p>
      <w:r>
        <w:t>- 18 - En l’occurrence, la preuve centrale de cette affaire est constituée par les déclarations de l’enfant. Ainsi, le procès-verbal de l’audition 1 de B.H.________, du 16 octobre 2020, comporte 10 pages. Cette audition a duré de 14h05 à 16h40, soit plus de 2 heures 30 et relate une version détaillée de divers épisodes de coups reçus, des émotions ressenties, des prétextes invoqués ou du contexte mis profit par l’auteur, des pleurs, des douleurs, et des ébauches de protection mises en place par la victime. Il s’en dégage une impression de sincérité, d’authenticité et de vérité. Quant à la fréquence, l’enfant a déclaré qu’il n’y avait pas un week-end où il ne se faisait pas taper (PV aud. 1 p. 6). Cette version n’est pas seulement plus crédible que celle du prévenu, elle est la seule crédible. Par ailleurs, pour tenter de se protéger de ce qu’il vivait, l’enfant en a parlé à sa mère qui n’a longtemps pas réagi par crainte ; il a rédigé un projet de lettre au juge le 20 octobre 2017 que sa mère n’a toutefois pas envoyé et qui débutait ainsi « monsieur le juge, en ais mare de rester chez mon papa parce qu’il me tire les cheveux il ma tape juste parce que j’avais fait tomber ma suset » (PV aud. 1 annexe). L’enfant a aussi parlé à sa sœur et à plusieurs copains, ainsi qu’à une enseignante, à l’infirmière scolaire et au médiateur scolaire de son établissement (PV aud. 1 p. 8). Il s’en est suivi un signalement du cas par le SPJ à la Justice de paix du Jura-Nord vaudois (P. 9). Compte tenu notamment de ces révélations spontanées de maltraitance faites par l’enfant à divers tiers et la longue absence de réaction de la mère, craintive, pour protéger son fils, la thèse de la manipulation de l’enfant par sa mère pour nuire au prévenu n’a aucun fondement.</w:t>
      </w:r>
    </w:p>
    <w:p>
      <w:r>
        <w:rPr>
          <w:b/>
        </w:rPr>
        <w:t>E. 3.3.6</w:t>
      </w:r>
    </w:p>
    <w:p>
      <w:r>
        <w:t>L’appelant prétend encore que la multitude de petits éléments qu’il met en avant alimenteraient un doute raisonnable sur sa culpabilité. Or les moyens qu’il soulève sont sans pertinence. Ainsi, et comme discuté plus haut, une lecture orientée en sa faveur du rapport d’expertise pédopsychiatrique de 2015 n’amène rien de décisif, pas plus que la</w:t>
      </w:r>
    </w:p>
    <w:p>
      <w:r>
        <w:t>- 19 - dégradation de son état psychique consécutive à la poursuite pénale. De même, il n’est pas déterminant que les faits n’aient pas été révélés plus tôt, l’auteur s’ingéniant à les dissimuler et s’efforçant de conditionner son fils pour qu’il n’en parle pas. Tout bien considéré, et en tenant compte des différents arguments mis en exergue par l’appelant, il y a lieu d’admette que la version de B.H.________, l’emporte sur celle du prévenu et ne laisse pas de place au doute. 4. 4.1 Aux termes de l’art. 126 CP, celui qui se sera livré sur une personne à des voies de fait qui n’auront causé ni lésion corporelle, ni atteinte à la santé sera, sur plainte, puni d’une amende (al. 1). La poursuite aura lieu d’office si l’auteur a agi à réitérées reprises notamment contre une personne, un enfant dont il avait la garde ou sur laquelle il avait le devoir de veiller (al. 2 let. a). Les voies de fait se définissent comme des atteintes physiques qui excèdent ce qui est socialement toléré et qui ne causent ni lésions corporelles, ni dommage à la santé. Une telle atteinte peut exister même si elle n’a causé aucune douleur physique (ATF 134 IV 189 consid. 1.2). L’atteinte au sens de l’art. 126 CP présuppose une certaine intensité (TF 6B_979/2021 du 11 avril 2022 consid. 6.1). Peuvent être qualifiées de voies de fait une gifle, un coup de poing ou de pied, de fortes bousculades avec les mains ou les coudes (TF 6B_782/2020 du 7 janvier 2021 consid. 3.1). Les voies de fait sont intentionnelles. Le dol éventuel suffit (TF 6B_979/2021 précité ; TF 6B_508/2021 du 14 janvier 2022). 4.2 En l’occurrence, les tirages de cheveux, les gifles et les fortes tapes de la paume sur l’arrière de la tête sont à l’évidence des voies de faits (cf. Marc Rémy, in CR Code pénal II, Bâle 2017 n. 4 ad art. 126 CP). L’infraction est qualifiée dès lors que l’auteur s’en est pris à un enfant (de dix ans et cinq mois à onze ans et cinq mois) sous son autorité</w:t>
      </w:r>
    </w:p>
    <w:p>
      <w:r>
        <w:t>- 20 - de père exerçant son droit aux relations personnelles et qu’il a agi à réitérées reprises, en l’espèce lors de chaque week-end de visite, soit d’une manière dénotant une certaine habitude. 5. Examinée d’office, il y a lieu de confirmer l’amende de 1'000 fr. prononcée en première instance pour sanctionner la contravention commise. En effet, la quotité de l’amende est modeste au vu de la fréquence des gestes violents prodigués à l’occasion de l’exercice du droit de visite, devenus à la fois un système éducatif fondé sur les corrections physiques et un exutoire au besoin de défoulement ou de revanche par substitution (à l’encontre de son ex-femme ou en raison de l’échec de son mariage) du prévenu, notamment lorsque l’enfant ressentait que les souffrances subies n’avaient pas de véritables causes. Cette intensité a eu pour conséquence que B.H.________ a fini par refuser le contact avec son père. De plus, il y a lieu de tenir compte de la durée des agissements retenus, soit environ une année. A décharge, il convient de prendre en considération les souffrances morales de ce père rigide qui a subi la procédure pénale et civile comme une déchéance et qui pâtit de la coupure irrémédiable à ce jour d’avec son fils. 6. Dès lors que la condamnation de l’appelant est confirmée, sa conclusion en indemnité pour perte de gain du fait des heures manquées de travail de moniteur d’auto-école du chef de ses participations nécessaires à des conférences, auditions et audiences s’avère infondée. 7. Le premier juge a alloué à B.H.________ la somme de 3'000 fr. à titre de réparation morale. Le montant n’est pas contesté en tant que tel, mais uniquement comme conséquence de la condamnation pénale, de sorte qu’il peut être confirmé, le Président de la Cour de céans faisant sienne la motivation complète et convaincante du premier juge figurant en page 18 du jugement attaqué sur ce point (cf. art. 82 al. 4 CPP).</w:t>
      </w:r>
    </w:p>
    <w:p>
      <w:r>
        <w:rPr>
          <w:b/>
        </w:rPr>
        <w:t>E. 8</w:t>
      </w:r>
    </w:p>
    <w:p>
      <w:r>
        <w:t>Au vu de ce qui précède, l’appel doit être rejeté et le jugement entrepris confirmé.</w:t>
      </w:r>
    </w:p>
    <w:p>
      <w:r>
        <w:t>- 21 - Le défenseur d’office de A.H.________ a produit en audience une liste d’opérations dont il y a lieu de retrancher une heure s’agissant de l’audience de jugement qui a finalement duré une heure et non deux heures. C’est ainsi une indemnité de 2'383 fr. 45 qui sera allouée à Me David Parisod pour la procédure d’appel, correspondant à 11.4 heures d’activité d’avocat au tarif horaire de 180 fr., à 41 fr. 04 de débours au taux forfaitaire de 2%, à 120 fr. de vacation et à 170 fr. 40 de TVA. Le conseil d’office et curateur de l’enfant B.H.________ a produit en audience une liste d’opérations dont il n’y a pas lieu de s’écarter. C’est ainsi une indemnité de 1'463 fr. 95 qui sera allouée à Me Raphaël Tatti pour la procédure d’appel, correspondant à 6h45 d’activité d’avocat au tarif horaire de 180 fr., à 24 fr. 30 de débours au taux forfaitaire de 2% (cf. art. 3bis al. 1 RAJ) –, à 120 fr. de vacation et à 104 fr. 65 de TVA. Vu l’issue de la cause, les frais de la procédure d’appel, par 5'597 fr. 40, constitués des émoluments de jugement et d’audience (art. 21 al. 1 et 2 TFIP), par 1’750 fr., ainsi que des indemnités d’office précitées, seront mis à la charge de A.H.________, qui succombe (art. 428 al. 1 CPP). A.H.________ ne sera tenu de rembourser à l’Etat les indemnités allouées à son défenseur d’office et au conseil d’office de la partie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